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Normal"/>
      </w:pPr>
      <w:r>
        <w:rPr>
          <w:b/>
        </w:rPr>
        <w:t xml:space="preserve">«SELLAI» MChJ</w:t>
      </w:r>
    </w:p>
    <w:p>
      <w:pPr>
        <w:pStyle w:val="Normal"/>
      </w:pPr>
      <w:r>
        <w:t xml:space="preserve">SafeLaw xizmati (safelaw.ai)</w:t>
      </w:r>
    </w:p>
    <w:p>
      <w:pPr>
        <w:pStyle w:val="Normal"/>
      </w:pPr>
      <w:r>
        <w:t xml:space="preserve">STIR: 312530703</w:t>
      </w:r>
    </w:p>
    <w:p>
      <w:pPr>
        <w:pStyle w:val="Normal"/>
      </w:pPr>
      <w:r>
        <w:t xml:space="preserve">Manzil: Oʻzbekiston Respublikasi, Qoraqalpogʻiston Respublikasi, Nukus shahri, A. S. Pushkin koʻchasi, 91/7</w:t>
      </w:r>
    </w:p>
    <w:p>
      <w:pPr>
        <w:pStyle w:val="Normal"/>
      </w:pPr>
      <w:r>
        <w:t xml:space="preserve">Elektron pochta: info@safelaw.ai. Telefon: +998 90 590 59 00</w:t>
      </w:r>
    </w:p>
    <w:p>
      <w:pPr>
        <w:pStyle w:val="Normal"/>
      </w:pPr>
      <w:r>
        <w:rPr>
          <w:b/>
        </w:rPr>
        <w:t xml:space="preserve">XIZMAT KOʻRSATUVCHILARNI BOSHQARISH SIYOSATI</w:t>
      </w:r>
    </w:p>
    <w:p>
      <w:pPr>
        <w:pStyle w:val="Normal"/>
      </w:pPr>
      <w:r>
        <w:t xml:space="preserve">Hujjat TPSP-01</w:t>
      </w:r>
    </w:p>
    <w:p>
      <w:pPr>
        <w:pStyle w:val="Normal"/>
      </w:pPr>
      <w:r>
        <w:t xml:space="preserve">1.2-versiya</w:t>
      </w:r>
    </w:p>
    <w:p>
      <w:pPr>
        <w:pStyle w:val="Normal"/>
      </w:pPr>
      <w:r>
        <w:t xml:space="preserve">Kuchga kirish sanasi: 2026-yil 15-may</w:t>
      </w:r>
    </w:p>
    <w:p>
      <w:pPr>
        <w:pStyle w:val="Normal"/>
      </w:pPr>
      <w:r>
        <w:t xml:space="preserve">Soʻnggi qayta koʻrib chiqilgan sana: 2026-yil 30-oktabr</w:t>
      </w:r>
    </w:p>
    <w:p>
      <w:pPr>
        <w:pStyle w:val="Normal"/>
      </w:pPr>
      <w:r>
        <w:t xml:space="preserve">_Muvofiqlik: PCI DSS v4.0.1, SAQ A_</w:t>
      </w:r>
    </w:p>
    <w:p>
      <w:pPr>
        <w:pStyle w:val="Normal"/>
      </w:pPr>
      <w:r>
        <w:t xml:space="preserve">_Asosiy til: rus tili. Ushbu oʻzbek tilidagi tarjima va rus tilidagi asosiy variant oʻrtasida har qanday tafovut boʻlsa, rus tilidagi variant ustun hisoblanadi._</w:t>
      </w:r>
    </w:p>
    <w:p>
      <w:pPr>
        <w:pStyle w:val="Heading1"/>
      </w:pPr>
      <w:r>
        <w:t xml:space="preserve">1\. Maqsad</w:t>
      </w:r>
    </w:p>
    <w:p>
      <w:pPr>
        <w:pStyle w:val="Normal"/>
      </w:pPr>
      <w:r>
        <w:t xml:space="preserve">Ushbu Xizmat koʻrsatuvchilarni boshqarish siyosati (keyingi oʻrinlarda — Siyosat) «SELLAI» MChJ (keyingi oʻrinlarda — Kompaniya) bilan SafeLaw xizmati (safelaw.ai) doirasida qayta ishlanadigan foydalanuvchilar maʼlumotlari, shu jumladan toʻlov kartalari maʼlumotlari xavfsizligiga taʼsir koʻrsatishi mumkin boʻlgan xizmatlarni koʻrsatuvchi uchinchi shaxslar bilan munosabatlarni tanlash, baholash, shartnomalarni tuzish, monitoring qilish va tugatish tartibini belgilaydi. Siyosat PCI DSS v4.0.1 standartining 12.8 talabiga muvofiq ishlab chiqilgan.</w:t>
      </w:r>
    </w:p>
    <w:p>
      <w:pPr>
        <w:pStyle w:val="Heading1"/>
      </w:pPr>
      <w:r>
        <w:t xml:space="preserve">2\. Qoʻllash sohasi</w:t>
      </w:r>
    </w:p>
    <w:p>
      <w:pPr>
        <w:pStyle w:val="Normal"/>
      </w:pPr>
      <w:r>
        <w:t xml:space="preserve">Siyosatning amal qilishi quyidagi barcha xizmat koʻrsatuvchilarga (Third-Party Service Providers, keyingi oʻrinlarda — TPSP) tatbiq etiladi:</w:t>
      </w:r>
    </w:p>
    <w:p>
      <w:pPr>
        <w:pStyle w:val="Normal"/>
        <w:ind w:left="360" w:hanging="180"/>
      </w:pPr>
      <w:r>
        <w:t xml:space="preserve">• foydalanuvchilarning toʻlov kartalari maʼlumotlariga kirish huquqiga ega yoki bunday maʼlumotlarni qayta ishlash muhiti (CDE) xavfsizligiga taʼsir koʻrsata oladigan;</w:t>
      </w:r>
    </w:p>
    <w:p>
      <w:pPr>
        <w:pStyle w:val="Normal"/>
        <w:ind w:left="360" w:hanging="180"/>
      </w:pPr>
      <w:r>
        <w:t xml:space="preserve">• Kompaniya foydalanuvchilarining shaxsiy maʼlumotlarini qayta ishlovchi, saqlovchi yoki uzatuvchi;</w:t>
      </w:r>
    </w:p>
    <w:p>
      <w:pPr>
        <w:pStyle w:val="Normal"/>
        <w:ind w:left="360" w:hanging="180"/>
      </w:pPr>
      <w:r>
        <w:t xml:space="preserve">• Kompaniyaning ommaviy xizmatlari ishlashini taʼminlovchi infratuzilma xizmatlarini koʻrsatuvchi;</w:t>
      </w:r>
    </w:p>
    <w:p>
      <w:pPr>
        <w:pStyle w:val="Normal"/>
        <w:ind w:left="360" w:hanging="180"/>
      </w:pPr>
      <w:r>
        <w:t xml:space="preserve">• Kompaniyaning axborot tizimlarini qoʻllab-quvvatlash yoki boshqarishni amalga oshiruvchi.</w:t>
      </w:r>
    </w:p>
    <w:p>
      <w:pPr>
        <w:pStyle w:val="Heading1"/>
      </w:pPr>
      <w:r>
        <w:t xml:space="preserve">3\. Atamalar</w:t>
      </w:r>
    </w:p>
    <w:p>
      <w:pPr>
        <w:pStyle w:val="Normal"/>
      </w:pPr>
      <w:r>
        <w:rPr>
          <w:b/>
        </w:rPr>
        <w:t xml:space="preserve">Xizmat koʻrsatuvchi (TPSP)</w:t>
      </w:r>
      <w:r>
        <w:t xml:space="preserve"> — Kompaniyaning xodimi boʻlmagan, ushbu Siyosatning 2-boʻlimida sanab oʻtilgan xizmatlarni koʻrsatuvchi yuridik yoki jismoniy shaxs.</w:t>
      </w:r>
    </w:p>
    <w:p>
      <w:pPr>
        <w:pStyle w:val="Normal"/>
      </w:pPr>
      <w:r>
        <w:rPr>
          <w:b/>
        </w:rPr>
        <w:t xml:space="preserve">Tegishli tekshirish (Due Diligence)</w:t>
      </w:r>
      <w:r>
        <w:t xml:space="preserve"> — potentsial xizmat koʻrsatuvchining Kompaniya tomonidan unga uzatilgan maʼlumotlarning xavfsizligini taʼminlash qobiliyatini dastlabki baholash jarayoni.</w:t>
      </w:r>
    </w:p>
    <w:p>
      <w:pPr>
        <w:pStyle w:val="Normal"/>
      </w:pPr>
      <w:r>
        <w:rPr>
          <w:b/>
        </w:rPr>
        <w:t xml:space="preserve">Attestation of Compliance (AoC)</w:t>
      </w:r>
      <w:r>
        <w:t xml:space="preserve"> — xizmat koʻrsatuvchining PCI DSS talablariga muvofiqligini tasdiqlovchi hujjat.</w:t>
      </w:r>
    </w:p>
    <w:p>
      <w:pPr>
        <w:pStyle w:val="Normal"/>
      </w:pPr>
      <w:r>
        <w:rPr>
          <w:b/>
        </w:rPr>
        <w:t xml:space="preserve">DPA (Data Processing Agreement)</w:t>
      </w:r>
      <w:r>
        <w:t xml:space="preserve"> — Kompaniya (kontroler) va xizmat koʻrsatuvchi (qayta ishlovchi) oʻrtasidagi shaxsiy maʼlumotlarni qayta ishlash boʻyicha bitim.</w:t>
      </w:r>
    </w:p>
    <w:p>
      <w:pPr>
        <w:pStyle w:val="Heading1"/>
      </w:pPr>
      <w:r>
        <w:t xml:space="preserve">4\. Xizmat koʻrsatuvchilar reestri</w:t>
      </w:r>
    </w:p>
    <w:p>
      <w:pPr>
        <w:pStyle w:val="Normal"/>
      </w:pPr>
      <w:r>
        <w:t xml:space="preserve">Kompaniya ushbu Siyosat amal qiladigan barcha xizmat koʻrsatuvchilarning dolzarb reestrini yuritadi. Reestrda har bir xizmat koʻrsatuvchi boʻyicha quyidagilar qayd etiladi:</w:t>
      </w:r>
    </w:p>
    <w:p>
      <w:pPr>
        <w:pStyle w:val="Normal"/>
        <w:ind w:left="360" w:hanging="180"/>
      </w:pPr>
      <w:r>
        <w:t xml:space="preserve">• nomi, roʻyxatdan oʻtgan davlati, aloqa maʼlumotlari;</w:t>
      </w:r>
    </w:p>
    <w:p>
      <w:pPr>
        <w:pStyle w:val="Normal"/>
        <w:ind w:left="360" w:hanging="180"/>
      </w:pPr>
      <w:r>
        <w:t xml:space="preserve">• koʻrsatilayotgan xizmatlarning turi va tavsifi;</w:t>
      </w:r>
    </w:p>
    <w:p>
      <w:pPr>
        <w:pStyle w:val="Normal"/>
        <w:ind w:left="360" w:hanging="180"/>
      </w:pPr>
      <w:r>
        <w:t xml:space="preserve">• PCI DSS nuqtai nazaridan xizmatlar toifasi (toʻlov xizmati, infratuzilma, xosting, AI, boshqa);</w:t>
      </w:r>
    </w:p>
    <w:p>
      <w:pPr>
        <w:pStyle w:val="Normal"/>
        <w:ind w:left="360" w:hanging="180"/>
      </w:pPr>
      <w:r>
        <w:t xml:space="preserve">• Kompaniya nomidan xizmat koʻrsatuvchi tomonidan bajariladigan aniq PCI DSS talablari;</w:t>
      </w:r>
    </w:p>
    <w:p>
      <w:pPr>
        <w:pStyle w:val="Normal"/>
        <w:ind w:left="360" w:hanging="180"/>
      </w:pPr>
      <w:r>
        <w:t xml:space="preserve">• shartnomani tuzish sanasi va amal qilish muddati;</w:t>
      </w:r>
    </w:p>
    <w:p>
      <w:pPr>
        <w:pStyle w:val="Normal"/>
        <w:ind w:left="360" w:hanging="180"/>
      </w:pPr>
      <w:r>
        <w:t xml:space="preserve">• Attestation of Compliance mavjudligi va amal qilish muddati (toʻlov va infratuzilma TPSPlari uchun);</w:t>
      </w:r>
    </w:p>
    <w:p>
      <w:pPr>
        <w:pStyle w:val="Normal"/>
        <w:ind w:left="360" w:hanging="180"/>
      </w:pPr>
      <w:r>
        <w:t xml:space="preserve">• DPA mavjudligi (shaxsiy maʼlumotlarni qayta ishlovchi xizmat koʻrsatuvchilar uchun);</w:t>
      </w:r>
    </w:p>
    <w:p>
      <w:pPr>
        <w:pStyle w:val="Normal"/>
        <w:ind w:left="360" w:hanging="180"/>
      </w:pPr>
      <w:r>
        <w:t xml:space="preserve">• muvofiqlikni soʻnggi baholash sanasi;</w:t>
      </w:r>
    </w:p>
    <w:p>
      <w:pPr>
        <w:pStyle w:val="Normal"/>
        <w:ind w:left="360" w:hanging="180"/>
      </w:pPr>
      <w:r>
        <w:t xml:space="preserve">• xizmat koʻrsatuvchi bilan oʻzaro aloqa uchun Kompaniya tomonidan mas'ul shaxs.</w:t>
      </w:r>
    </w:p>
    <w:p>
      <w:pPr>
        <w:pStyle w:val="Normal"/>
      </w:pPr>
      <w:r>
        <w:t xml:space="preserve">Reestr kamida 12 oyda bir marta qayta koʻrib chiqiladi va xizmat koʻrsatuvchilar tarkibidagi har qanday oʻzgarishlar paytida yangilanadi.</w:t>
      </w:r>
    </w:p>
    <w:p>
      <w:pPr>
        <w:pStyle w:val="Heading2"/>
      </w:pPr>
      <w:r>
        <w:t xml:space="preserve">4.1. Kompaniyaning amaldagi xizmat koʻrsatuvchilar tarkibi</w:t>
      </w:r>
    </w:p>
    <w:p>
      <w:pPr>
        <w:pStyle w:val="Normal"/>
      </w:pPr>
      <w:r>
        <w:t xml:space="preserve">2026-yil 30-oktabr holatiga:</w:t>
      </w:r>
    </w:p>
    <w:p>
      <w:pPr>
        <w:pStyle w:val="Normal"/>
      </w:pPr>
      <w:r>
        <w:rPr>
          <w:b/>
        </w:rPr>
        <w:t xml:space="preserve">Xizmat koʻrsatuvchi</w:t>
      </w:r>
    </w:p>
    <w:p>
      <w:pPr>
        <w:pStyle w:val="Normal"/>
      </w:pPr>
      <w:r>
        <w:rPr>
          <w:b/>
        </w:rPr>
        <w:t xml:space="preserve">Yurisdiktsiya</w:t>
      </w:r>
    </w:p>
    <w:p>
      <w:pPr>
        <w:pStyle w:val="Normal"/>
      </w:pPr>
      <w:r>
        <w:rPr>
          <w:b/>
        </w:rPr>
        <w:t xml:space="preserve">Xizmat / rol</w:t>
      </w:r>
    </w:p>
    <w:p>
      <w:pPr>
        <w:pStyle w:val="Normal"/>
      </w:pPr>
      <w:r>
        <w:rPr>
          <w:b/>
        </w:rPr>
        <w:t xml:space="preserve">PCI DSS toifasi</w:t>
      </w:r>
    </w:p>
    <w:p>
      <w:pPr>
        <w:pStyle w:val="Normal"/>
      </w:pPr>
      <w:r>
        <w:t xml:space="preserve">FreedomPay</w:t>
      </w:r>
    </w:p>
    <w:p>
      <w:pPr>
        <w:pStyle w:val="Normal"/>
      </w:pPr>
      <w:r>
        <w:t xml:space="preserve">Oʻzbekiston</w:t>
      </w:r>
    </w:p>
    <w:p>
      <w:pPr>
        <w:pStyle w:val="Normal"/>
      </w:pPr>
      <w:r>
        <w:t xml:space="preserve">Uzcard va Humo kartalari boʻyicha toʻlovlarni qabul qilish; toʻlov rekvizitlari provayder tomonida kiritiladi</w:t>
      </w:r>
    </w:p>
    <w:p>
      <w:pPr>
        <w:pStyle w:val="Normal"/>
      </w:pPr>
      <w:r>
        <w:t xml:space="preserve">Toʻlov xizmati</w:t>
      </w:r>
    </w:p>
    <w:p>
      <w:pPr>
        <w:pStyle w:val="Normal"/>
      </w:pPr>
      <w:r>
        <w:t xml:space="preserve">Click</w:t>
      </w:r>
    </w:p>
    <w:p>
      <w:pPr>
        <w:pStyle w:val="Normal"/>
      </w:pPr>
      <w:r>
        <w:t xml:space="preserve">Oʻzbekiston</w:t>
      </w:r>
    </w:p>
    <w:p>
      <w:pPr>
        <w:pStyle w:val="Normal"/>
      </w:pPr>
      <w:r>
        <w:t xml:space="preserve">Click toʻlov xizmati orqali toʻlovlarni qabul qilish; toʻlov provayder sahifasida amalga oshiriladi</w:t>
      </w:r>
    </w:p>
    <w:p>
      <w:pPr>
        <w:pStyle w:val="Normal"/>
      </w:pPr>
      <w:r>
        <w:t xml:space="preserve">Toʻlov xizmati</w:t>
      </w:r>
    </w:p>
    <w:p>
      <w:pPr>
        <w:pStyle w:val="Normal"/>
      </w:pPr>
      <w:r>
        <w:t xml:space="preserve">Payme</w:t>
      </w:r>
    </w:p>
    <w:p>
      <w:pPr>
        <w:pStyle w:val="Normal"/>
      </w:pPr>
      <w:r>
        <w:t xml:space="preserve">Oʻzbekiston</w:t>
      </w:r>
    </w:p>
    <w:p>
      <w:pPr>
        <w:pStyle w:val="Normal"/>
      </w:pPr>
      <w:r>
        <w:t xml:space="preserve">Payme toʻlov xizmati orqali toʻlovlarni qabul qilish; toʻlov provayder sahifasida amalga oshiriladi</w:t>
      </w:r>
    </w:p>
    <w:p>
      <w:pPr>
        <w:pStyle w:val="Normal"/>
      </w:pPr>
      <w:r>
        <w:t xml:space="preserve">Toʻlov xizmati</w:t>
      </w:r>
    </w:p>
    <w:p>
      <w:pPr>
        <w:pStyle w:val="Normal"/>
      </w:pPr>
      <w:r>
        <w:t xml:space="preserve">Telegram FZ-LLC</w:t>
      </w:r>
    </w:p>
    <w:p>
      <w:pPr>
        <w:pStyle w:val="Normal"/>
      </w:pPr>
      <w:r>
        <w:t xml:space="preserve">BAA</w:t>
      </w:r>
    </w:p>
    <w:p>
      <w:pPr>
        <w:pStyle w:val="Normal"/>
      </w:pPr>
      <w:r>
        <w:t xml:space="preserve">Foydalanuvchilarni qoʻllab-quvvatlash kanali (@safelaw\_support\_bot) va SafeLaw xizmatining Telegram versiyasi (@safelawaibot)</w:t>
      </w:r>
    </w:p>
    <w:p>
      <w:pPr>
        <w:pStyle w:val="Normal"/>
      </w:pPr>
      <w:r>
        <w:t xml:space="preserve">Boshqa / aloqa kanali</w:t>
      </w:r>
    </w:p>
    <w:p>
      <w:pPr>
        <w:pStyle w:val="Normal"/>
      </w:pPr>
      <w:r>
        <w:t xml:space="preserve">Netcup GmbH</w:t>
      </w:r>
    </w:p>
    <w:p>
      <w:pPr>
        <w:pStyle w:val="Normal"/>
      </w:pPr>
      <w:r>
        <w:t xml:space="preserve">Germaniya</w:t>
      </w:r>
    </w:p>
    <w:p>
      <w:pPr>
        <w:pStyle w:val="Normal"/>
      </w:pPr>
      <w:r>
        <w:t xml:space="preserve">SafeLaw xizmatining ishlab chiqarish serverlari xostingi</w:t>
      </w:r>
    </w:p>
    <w:p>
      <w:pPr>
        <w:pStyle w:val="Normal"/>
      </w:pPr>
      <w:r>
        <w:t xml:space="preserve">Infratuzilma / xosting</w:t>
      </w:r>
    </w:p>
    <w:p>
      <w:pPr>
        <w:pStyle w:val="Normal"/>
      </w:pPr>
      <w:r>
        <w:t xml:space="preserve">Google LLC</w:t>
      </w:r>
    </w:p>
    <w:p>
      <w:pPr>
        <w:pStyle w:val="Normal"/>
      </w:pPr>
      <w:r>
        <w:t xml:space="preserve">AQSH</w:t>
      </w:r>
    </w:p>
    <w:p>
      <w:pPr>
        <w:pStyle w:val="Normal"/>
      </w:pPr>
      <w:r>
        <w:t xml:space="preserve">Korporativ pochta va birgalikda ishlash (Google Workspace)</w:t>
      </w:r>
    </w:p>
    <w:p>
      <w:pPr>
        <w:pStyle w:val="Normal"/>
      </w:pPr>
      <w:r>
        <w:t xml:space="preserve">Korporativ xizmatlar</w:t>
      </w:r>
    </w:p>
    <w:p>
      <w:pPr>
        <w:pStyle w:val="Normal"/>
      </w:pPr>
      <w:r>
        <w:t xml:space="preserve">Anthropic PBC</w:t>
      </w:r>
    </w:p>
    <w:p>
      <w:pPr>
        <w:pStyle w:val="Normal"/>
      </w:pPr>
      <w:r>
        <w:t xml:space="preserve">AQSH</w:t>
      </w:r>
    </w:p>
    <w:p>
      <w:pPr>
        <w:pStyle w:val="Normal"/>
      </w:pPr>
      <w:r>
        <w:t xml:space="preserve">AI-xizmat: SI modellari API</w:t>
      </w:r>
    </w:p>
    <w:p>
      <w:pPr>
        <w:pStyle w:val="Normal"/>
      </w:pPr>
      <w:r>
        <w:t xml:space="preserve">AI-xizmat</w:t>
      </w:r>
    </w:p>
    <w:p>
      <w:pPr>
        <w:pStyle w:val="Normal"/>
      </w:pPr>
      <w:r>
        <w:t xml:space="preserve">Voyage AI</w:t>
      </w:r>
    </w:p>
    <w:p>
      <w:pPr>
        <w:pStyle w:val="Normal"/>
      </w:pPr>
      <w:r>
        <w:t xml:space="preserve">AQSH</w:t>
      </w:r>
    </w:p>
    <w:p>
      <w:pPr>
        <w:pStyle w:val="Normal"/>
      </w:pPr>
      <w:r>
        <w:t xml:space="preserve">Qidiruv natijalarini saralash AI-xizmati (Rerank API); foydalanuvchi soʻrovi matnini oladi</w:t>
      </w:r>
    </w:p>
    <w:p>
      <w:pPr>
        <w:pStyle w:val="Normal"/>
      </w:pPr>
      <w:r>
        <w:t xml:space="preserve">AI-xizmat</w:t>
      </w:r>
    </w:p>
    <w:p>
      <w:pPr>
        <w:pStyle w:val="Normal"/>
      </w:pPr>
      <w:r>
        <w:t xml:space="preserve">OpenAI, OpCo, LLC</w:t>
      </w:r>
    </w:p>
    <w:p>
      <w:pPr>
        <w:pStyle w:val="Normal"/>
      </w:pPr>
      <w:r>
        <w:t xml:space="preserve">AQSH</w:t>
      </w:r>
    </w:p>
    <w:p>
      <w:pPr>
        <w:pStyle w:val="Normal"/>
      </w:pPr>
      <w:r>
        <w:t xml:space="preserve">AI-xizmat: SI modellari API</w:t>
      </w:r>
    </w:p>
    <w:p>
      <w:pPr>
        <w:pStyle w:val="Normal"/>
      </w:pPr>
      <w:r>
        <w:t xml:space="preserve">AI-xizmat</w:t>
      </w:r>
    </w:p>
    <w:p>
      <w:pPr>
        <w:pStyle w:val="Normal"/>
      </w:pPr>
      <w:r>
        <w:t xml:space="preserve">Namecheap, Inc.</w:t>
      </w:r>
    </w:p>
    <w:p>
      <w:pPr>
        <w:pStyle w:val="Normal"/>
      </w:pPr>
      <w:r>
        <w:t xml:space="preserve">AQSH</w:t>
      </w:r>
    </w:p>
    <w:p>
      <w:pPr>
        <w:pStyle w:val="Normal"/>
      </w:pPr>
      <w:r>
        <w:t xml:space="preserve">safelaw.ai domen registratori</w:t>
      </w:r>
    </w:p>
    <w:p>
      <w:pPr>
        <w:pStyle w:val="Normal"/>
      </w:pPr>
      <w:r>
        <w:t xml:space="preserve">Infratuzilma</w:t>
      </w:r>
    </w:p>
    <w:p>
      <w:pPr>
        <w:pStyle w:val="Normal"/>
      </w:pPr>
      <w:r>
        <w:t xml:space="preserve">Google LLC</w:t>
      </w:r>
    </w:p>
    <w:p>
      <w:pPr>
        <w:pStyle w:val="Normal"/>
      </w:pPr>
      <w:r>
        <w:t xml:space="preserve">AQSH</w:t>
      </w:r>
    </w:p>
    <w:p>
      <w:pPr>
        <w:pStyle w:val="Normal"/>
      </w:pPr>
      <w:r>
        <w:t xml:space="preserve">Google Analytics 4 veb-analitikasi: tashriflar statistikasi va reklama samaradorligini o‘lchash; faqat foydalanuvchi analitik cookie fayllariga rozilik berganidan keyin ulanadi</w:t>
      </w:r>
    </w:p>
    <w:p>
      <w:pPr>
        <w:pStyle w:val="Normal"/>
      </w:pPr>
      <w:r>
        <w:t xml:space="preserve">Boshqa / veb-analitika</w:t>
      </w:r>
    </w:p>
    <w:p>
      <w:pPr>
        <w:pStyle w:val="Normal"/>
      </w:pPr>
      <w:r>
        <w:t xml:space="preserve">Meta Platforms, Inc.</w:t>
      </w:r>
    </w:p>
    <w:p>
      <w:pPr>
        <w:pStyle w:val="Normal"/>
      </w:pPr>
      <w:r>
        <w:t xml:space="preserve">AQSH</w:t>
      </w:r>
    </w:p>
    <w:p>
      <w:pPr>
        <w:pStyle w:val="Normal"/>
      </w:pPr>
      <w:r>
        <w:t xml:space="preserve">Meta Pixel: konversiya va reklama samaradorligini o‘lchash; faqat foydalanuvchi marketing cookie fayllariga rozilik berganidan keyin ulanadi</w:t>
      </w:r>
    </w:p>
    <w:p>
      <w:pPr>
        <w:pStyle w:val="Normal"/>
      </w:pPr>
      <w:r>
        <w:t xml:space="preserve">Boshqa / marketing</w:t>
      </w:r>
    </w:p>
    <w:p>
      <w:pPr>
        <w:pStyle w:val="Normal"/>
      </w:pPr>
      <w:r>
        <w:t xml:space="preserve">Microsoft Corporation</w:t>
      </w:r>
    </w:p>
    <w:p>
      <w:pPr>
        <w:pStyle w:val="Normal"/>
      </w:pPr>
      <w:r>
        <w:t xml:space="preserve">AQSH</w:t>
      </w:r>
    </w:p>
    <w:p>
      <w:pPr>
        <w:pStyle w:val="Normal"/>
      </w:pPr>
      <w:r>
        <w:t xml:space="preserve">Microsoft Clarity veb-analitikasi: saytdagi xatti-harakatlar statistikasi, issiqlik xaritalari va chatga kiritilgan matn, savollar va javoblar niqoblangan sessiya yozuvlari; faqat foydalanuvchi analitik cookie fayllariga rozilik berganidan keyin ulanadi</w:t>
      </w:r>
    </w:p>
    <w:p>
      <w:pPr>
        <w:pStyle w:val="Normal"/>
      </w:pPr>
      <w:r>
        <w:t xml:space="preserve">Boshqa / veb-analitika</w:t>
      </w:r>
    </w:p>
    <w:p>
      <w:pPr>
        <w:pStyle w:val="Normal"/>
      </w:pPr>
      <w:r>
        <w:t xml:space="preserve">«Yandeks» MChJ</w:t>
      </w:r>
    </w:p>
    <w:p>
      <w:pPr>
        <w:pStyle w:val="Normal"/>
      </w:pPr>
      <w:r>
        <w:t xml:space="preserve">Rossiya</w:t>
      </w:r>
    </w:p>
    <w:p>
      <w:pPr>
        <w:pStyle w:val="Normal"/>
      </w:pPr>
      <w:r>
        <w:t xml:space="preserve">Vebvizor va kliklar xaritasi bilan Yandex Metrika veb-analitikasi: tashriflar statistikasi va chatga kiritilgan matn, savollar va javoblar niqoblangan sessiya yozuvlari; faqat foydalanuvchi analitik cookie fayllariga rozilik berganidan keyin ulanadi</w:t>
      </w:r>
    </w:p>
    <w:p>
      <w:pPr>
        <w:pStyle w:val="Normal"/>
      </w:pPr>
      <w:r>
        <w:t xml:space="preserve">Boshqa / veb-analitika</w:t>
      </w:r>
    </w:p>
    <w:p>
      <w:pPr>
        <w:pStyle w:val="Normal"/>
      </w:pPr>
      <w:r>
        <w:t xml:space="preserve">PostHog Inc.</w:t>
      </w:r>
    </w:p>
    <w:p>
      <w:pPr>
        <w:pStyle w:val="Normal"/>
      </w:pPr>
      <w:r>
        <w:t xml:space="preserve">AQSH; maʼlumotlar Yevropa Ittifoqida (Frankfurt, Germaniya) saqlanadi va qayta ishlanadi</w:t>
      </w:r>
    </w:p>
    <w:p>
      <w:pPr>
        <w:pStyle w:val="Normal"/>
      </w:pPr>
      <w:r>
        <w:t xml:space="preserve">Mahsulot analitikasi va chatga kiritilgan matn, savollar va javoblar niqoblangan sessiya yozuvlari; faqat foydalanuvchi analitik cookie fayllariga rozilik berganidan keyin ulanadi</w:t>
      </w:r>
    </w:p>
    <w:p>
      <w:pPr>
        <w:pStyle w:val="Normal"/>
      </w:pPr>
      <w:r>
        <w:t xml:space="preserve">Boshqa / veb-analitika</w:t>
      </w:r>
    </w:p>
    <w:p>
      <w:pPr>
        <w:pStyle w:val="Normal"/>
      </w:pPr>
      <w:r>
        <w:t xml:space="preserve">Sanab oʻtilgan xizmat koʻrsatuvchilarning hech biri, toʻlov xizmati koʻrsatuvchilardan (FreedomPay, Click, Payme) tashqari, foydalanuvchilarning toʻlov kartalari maʼlumotlariga kirish huquqiga ega emas, chunki Kompaniya oʻz infratuzilmasida PAN va SADni qayta ishlamaydi.</w:t>
      </w:r>
    </w:p>
    <w:p>
      <w:pPr>
        <w:pStyle w:val="Heading1"/>
      </w:pPr>
      <w:r>
        <w:t xml:space="preserve">5\. Xizmat koʻrsatuvchini tanlash tartibi</w:t>
      </w:r>
    </w:p>
    <w:p>
      <w:pPr>
        <w:pStyle w:val="Heading2"/>
      </w:pPr>
      <w:r>
        <w:t xml:space="preserve">5.1. Tegishli tekshirish</w:t>
      </w:r>
    </w:p>
    <w:p>
      <w:pPr>
        <w:pStyle w:val="Normal"/>
      </w:pPr>
      <w:r>
        <w:t xml:space="preserve">Ushbu Siyosat amal qiladigan potentsial xizmat koʻrsatuvchi bilan shartnoma tuzishdan oldin uni quyidagi mezonlar boʻyicha baholash amalga oshiriladi:</w:t>
      </w:r>
    </w:p>
    <w:p>
      <w:pPr>
        <w:pStyle w:val="Normal"/>
        <w:ind w:left="360" w:hanging="180"/>
      </w:pPr>
      <w:r>
        <w:t xml:space="preserve">• zarur litsenziyalar, ruxsatnomalar, roʻyxatga olishlarning mavjudligi;</w:t>
      </w:r>
    </w:p>
    <w:p>
      <w:pPr>
        <w:pStyle w:val="Normal"/>
        <w:ind w:left="360" w:hanging="180"/>
      </w:pPr>
      <w:r>
        <w:t xml:space="preserve">• tegishli standartlar va sertifikatlarga muvofiqligi (xizmat turiga qarab PCI DSS, ISO 27001, SOC 2);</w:t>
      </w:r>
    </w:p>
    <w:p>
      <w:pPr>
        <w:pStyle w:val="Normal"/>
        <w:ind w:left="360" w:hanging="180"/>
      </w:pPr>
      <w:r>
        <w:t xml:space="preserve">• bozordagi obroʻsi, ommaviy manbalarda axborot xavfsizligi hodisalarining mavjudligi;</w:t>
      </w:r>
    </w:p>
    <w:p>
      <w:pPr>
        <w:pStyle w:val="Normal"/>
        <w:ind w:left="360" w:hanging="180"/>
      </w:pPr>
      <w:r>
        <w:t xml:space="preserve">• axborot xavfsizligi va maʼlumotlarni qayta ishlash siyosatlarining shaffofligi;</w:t>
      </w:r>
    </w:p>
    <w:p>
      <w:pPr>
        <w:pStyle w:val="Normal"/>
        <w:ind w:left="360" w:hanging="180"/>
      </w:pPr>
      <w:r>
        <w:t xml:space="preserve">• maʼlumotlarni himoya qilish boʻyicha shartnoma majburiyatlariga kirish qobiliyati;</w:t>
      </w:r>
    </w:p>
    <w:p>
      <w:pPr>
        <w:pStyle w:val="Normal"/>
        <w:ind w:left="360" w:hanging="180"/>
      </w:pPr>
      <w:r>
        <w:t xml:space="preserve">• maʼlumotlarni qayta ishlash infratuzilmasining geografik joylashuvi;</w:t>
      </w:r>
    </w:p>
    <w:p>
      <w:pPr>
        <w:pStyle w:val="Normal"/>
        <w:ind w:left="360" w:hanging="180"/>
      </w:pPr>
      <w:r>
        <w:t xml:space="preserve">• moliyaviy barqarorlik;</w:t>
      </w:r>
    </w:p>
    <w:p>
      <w:pPr>
        <w:pStyle w:val="Normal"/>
        <w:ind w:left="360" w:hanging="180"/>
      </w:pPr>
      <w:r>
        <w:t xml:space="preserve">• SLA va qoʻllab-quvvatlash shartlari.</w:t>
      </w:r>
    </w:p>
    <w:p>
      <w:pPr>
        <w:pStyle w:val="Normal"/>
      </w:pPr>
      <w:r>
        <w:t xml:space="preserve">Toʻlov provayderlari va toʻlov kartalari maʼlumotlariga kirish huquqiga ega xizmat koʻrsatuvchilar uchun tegishli darajadagi amaldagi PCI DSS sertifikati mavjudligi majburiy hisoblanadi. Attestation of Compliance (AoC) nusxasi soʻraladi.</w:t>
      </w:r>
    </w:p>
    <w:p>
      <w:pPr>
        <w:pStyle w:val="Heading2"/>
      </w:pPr>
      <w:r>
        <w:t xml:space="preserve">5.2. Baholashni hujjatlashtirish</w:t>
      </w:r>
    </w:p>
    <w:p>
      <w:pPr>
        <w:pStyle w:val="Normal"/>
      </w:pPr>
      <w:r>
        <w:t xml:space="preserve">Baholash natijalari xizmat koʻrsatuvchining nomi, taklif etilayotgan xizmatlar, tekshirilgan mezonlar roʻyxati, aniqlangan xavflar, shartnoma tuzish yoki rad etish boʻyicha tavsiyani oʻz ichiga olgan qisqa hisobot shaklida hujjatlashtiriladi. Hisobot shartnoma amal qilish muddati davomida va u tugatilgandan keyin 3 yil davomida saqlanadi.</w:t>
      </w:r>
    </w:p>
    <w:p>
      <w:pPr>
        <w:pStyle w:val="Heading1"/>
      </w:pPr>
      <w:r>
        <w:t xml:space="preserve">6\. Shartnoma talablari</w:t>
      </w:r>
    </w:p>
    <w:p>
      <w:pPr>
        <w:pStyle w:val="Normal"/>
      </w:pPr>
      <w:r>
        <w:t xml:space="preserve">Kompaniya maʼlumotlariga kirish huquqiga ega yoki maʼlumotlar xavfsizligiga taʼsir qiluvchi TPSP bilan shartnoma majburiy ravishda quyidagi qoidalarni oʻz ichiga oladi:</w:t>
      </w:r>
    </w:p>
    <w:p>
      <w:pPr>
        <w:pStyle w:val="Normal"/>
        <w:ind w:left="360" w:hanging="180"/>
      </w:pPr>
      <w:r>
        <w:t xml:space="preserve">• xizmat koʻrsatuvchining qoʻllaniladigan qonunchilik va standartlarga rioya qilish majburiyati (shu jumladan, toʻlov va infratuzilma provayderlari uchun PCI DSS; Oʻzbekiston rezidentlari boʻlgan foydalanuvchilarning shaxsiy maʼlumotlarini qayta ishlovchilar uchun «Shaxsiy maʼlumotlar toʻgʻrisida»gi OʻRQ-547-son qonun);</w:t>
      </w:r>
    </w:p>
    <w:p>
      <w:pPr>
        <w:pStyle w:val="Normal"/>
        <w:ind w:left="360" w:hanging="180"/>
      </w:pPr>
      <w:r>
        <w:t xml:space="preserve">• Kompaniya va xizmat koʻrsatuvchi oʻrtasida axborot xavfsizligini taʼminlash boʻyicha mas'uliyatning aniq taqsimlanishi;</w:t>
      </w:r>
    </w:p>
    <w:p>
      <w:pPr>
        <w:pStyle w:val="Normal"/>
        <w:ind w:left="360" w:hanging="180"/>
      </w:pPr>
      <w:r>
        <w:t xml:space="preserve">• xizmat koʻrsatuvchining Kompaniya maʼlumotlariga taʼsir qiluvchi axborot xavfsizligi hodisalari haqida Kompaniyani belgilangan muddatdan kechiktirmasdan xabardor qilish majburiyati;</w:t>
      </w:r>
    </w:p>
    <w:p>
      <w:pPr>
        <w:pStyle w:val="Normal"/>
        <w:ind w:left="360" w:hanging="180"/>
      </w:pPr>
      <w:r>
        <w:t xml:space="preserve">• Kompaniyaning xizmat koʻrsatuvchining xavfsizlik standartlariga muvofiqligini tasdiqlovchi hujjatlarni soʻrash huquqi;</w:t>
      </w:r>
    </w:p>
    <w:p>
      <w:pPr>
        <w:pStyle w:val="Normal"/>
        <w:ind w:left="360" w:hanging="180"/>
      </w:pPr>
      <w:r>
        <w:t xml:space="preserve">• Kompaniyadan olingan axborotning maxfiyligini saqlash majburiyatlari;</w:t>
      </w:r>
    </w:p>
    <w:p>
      <w:pPr>
        <w:pStyle w:val="Normal"/>
        <w:ind w:left="360" w:hanging="180"/>
      </w:pPr>
      <w:r>
        <w:t xml:space="preserve">• shartnoma tugatilganda Kompaniya maʼlumotlarini qaytarish yoki yoʻq qilish tartibi;</w:t>
      </w:r>
    </w:p>
    <w:p>
      <w:pPr>
        <w:pStyle w:val="Normal"/>
        <w:ind w:left="360" w:hanging="180"/>
      </w:pPr>
      <w:r>
        <w:t xml:space="preserve">• maʼlumotlar xavfsizligi qismidagi shartnoma majburiyatlarini buzganlik uchun javobgarlik.</w:t>
      </w:r>
    </w:p>
    <w:p>
      <w:pPr>
        <w:pStyle w:val="Normal"/>
      </w:pPr>
      <w:r>
        <w:t xml:space="preserve">Xalqaro xizmat koʻrsatuvchilarning (Google, Anthropic, OpenAI, Voyage AI, Netcup va boshqalar) standart shartlariga alohida qoidalarni kiritish imkonsiz boʻlganda, Kompaniya ushbu xizmat koʻrsatuvchilar taklif qiladigan foydalanish shartlari, maxfiylik siyosatlari va Data Processing Agreementiga tayanadi va ularning Kompaniya talablariga muvofiqligini taʼminlaydi. Bunday xizmat koʻrsatuvchilar bilan DPA tuzish majburiy hisoblanadi.</w:t>
      </w:r>
    </w:p>
    <w:p>
      <w:pPr>
        <w:pStyle w:val="Heading1"/>
      </w:pPr>
      <w:r>
        <w:t xml:space="preserve">7\. PCI DSS ga muvofiqlikni taʼminlash boʻyicha mas'uliyatlarni taqsimlash</w:t>
      </w:r>
    </w:p>
    <w:p>
      <w:pPr>
        <w:pStyle w:val="Normal"/>
      </w:pPr>
      <w:r>
        <w:t xml:space="preserve">Kompaniya va TPSP oʻrtasida PCI DSS talablariga muvofiqlikni taʼminlash boʻyicha mas'uliyatlar aniq taqsimlanadi. Taqsimlash mas'uliyat matritsasida (Responsibility Matrix) hujjat shaklida qayd etiladi.</w:t>
      </w:r>
    </w:p>
    <w:p>
      <w:pPr>
        <w:pStyle w:val="Heading2"/>
      </w:pPr>
      <w:r>
        <w:t xml:space="preserve">7.1. Toʻlov provayderlarining (FreedomPay, Click, Payme) majburiyatlari</w:t>
      </w:r>
    </w:p>
    <w:p>
      <w:pPr>
        <w:pStyle w:val="Normal"/>
        <w:ind w:left="360" w:hanging="180"/>
      </w:pPr>
      <w:r>
        <w:t xml:space="preserve">• foydalanuvchilarning toʻlov kartalari maʼlumotlarini qayta ishlash, saqlash, uzatish;</w:t>
      </w:r>
    </w:p>
    <w:p>
      <w:pPr>
        <w:pStyle w:val="Normal"/>
        <w:ind w:left="360" w:hanging="180"/>
      </w:pPr>
      <w:r>
        <w:t xml:space="preserve">• toʻlov shlyuzi va toʻlov sahifalarining xavfsizligini taʼminlash;</w:t>
      </w:r>
    </w:p>
    <w:p>
      <w:pPr>
        <w:pStyle w:val="Normal"/>
        <w:ind w:left="360" w:hanging="180"/>
      </w:pPr>
      <w:r>
        <w:t xml:space="preserve">• toʻlov xizmati provayderiga taalluqli PCI DSS talablariga muvofiqlik;</w:t>
      </w:r>
    </w:p>
    <w:p>
      <w:pPr>
        <w:pStyle w:val="Normal"/>
        <w:ind w:left="360" w:hanging="180"/>
      </w:pPr>
      <w:r>
        <w:t xml:space="preserve">• toʻlov operatsiyalariga taʼsir qiluvchi har qanday xavfsizlik hodisalari haqida Kompaniyani xabardor qilish.</w:t>
      </w:r>
    </w:p>
    <w:p>
      <w:pPr>
        <w:pStyle w:val="Heading2"/>
      </w:pPr>
      <w:r>
        <w:t xml:space="preserve">7.2. Kompaniyaning majburiyatlari</w:t>
      </w:r>
    </w:p>
    <w:p>
      <w:pPr>
        <w:pStyle w:val="Normal"/>
        <w:ind w:left="360" w:hanging="180"/>
      </w:pPr>
      <w:r>
        <w:t xml:space="preserve">• toʻlov kartalari maʼlumotlari Kompaniya infratuzilmasiga uzatilmasligini taʼminlash;</w:t>
      </w:r>
    </w:p>
    <w:p>
      <w:pPr>
        <w:pStyle w:val="Normal"/>
        <w:ind w:left="360" w:hanging="180"/>
      </w:pPr>
      <w:r>
        <w:t xml:space="preserve">• toʻlov shlyuzi bilan xavfsiz integratsiya (redirect flowni toʻgʻri sozlash, qaytariladigan parametrlarni tekshirish);</w:t>
      </w:r>
    </w:p>
    <w:p>
      <w:pPr>
        <w:pStyle w:val="Normal"/>
        <w:ind w:left="360" w:hanging="180"/>
      </w:pPr>
      <w:r>
        <w:t xml:space="preserve">• safelaw.ai veb-saytini foydalanuvchilarni soxta toʻlov sahifalariga yoʻnaltirishi mumkin boʻlgan aralashuvlardan himoya qilish;</w:t>
      </w:r>
    </w:p>
    <w:p>
      <w:pPr>
        <w:pStyle w:val="Normal"/>
        <w:ind w:left="360" w:hanging="180"/>
      </w:pPr>
      <w:r>
        <w:t xml:space="preserve">• CHDni qayta ishlashni toʻliq autsorsingga bergan savdogar uchun amal qiluvchi SAQ A talablariga rioya qilish;</w:t>
      </w:r>
    </w:p>
    <w:p>
      <w:pPr>
        <w:pStyle w:val="Normal"/>
        <w:ind w:left="360" w:hanging="180"/>
      </w:pPr>
      <w:r>
        <w:t xml:space="preserve">• TPSP reestrini yuritish va ularning PCI DSS ga muvofiqligini monitoring qilish.</w:t>
      </w:r>
    </w:p>
    <w:p>
      <w:pPr>
        <w:pStyle w:val="Heading1"/>
      </w:pPr>
      <w:r>
        <w:t xml:space="preserve">8\. Xizmat koʻrsatuvchilarning muvofiqligini monitoring qilish</w:t>
      </w:r>
    </w:p>
    <w:p>
      <w:pPr>
        <w:pStyle w:val="Normal"/>
      </w:pPr>
      <w:r>
        <w:t xml:space="preserve">Kompaniya xizmat koʻrsatuvchilarning amal qiluvchi talablarga muvofiqligini muntazam ravishda monitoring qiladi:</w:t>
      </w:r>
    </w:p>
    <w:p>
      <w:pPr>
        <w:pStyle w:val="Normal"/>
        <w:ind w:left="360" w:hanging="180"/>
      </w:pPr>
      <w:r>
        <w:t xml:space="preserve">• kamida 12 oyda bir marta toʻlov va infratuzilma TPSPlaridan dolzarb Attestation of Compliance soʻraladi;</w:t>
      </w:r>
    </w:p>
    <w:p>
      <w:pPr>
        <w:pStyle w:val="Normal"/>
        <w:ind w:left="360" w:hanging="180"/>
      </w:pPr>
      <w:r>
        <w:t xml:space="preserve">• xizmat koʻrsatuvchida ommaviy Trust Center yoki muvofiqlik sahifasi (Compliance Page) mavjud boʻlganda holatning dolzarbligi rasmiy manbalar boʻyicha tekshiriladi;</w:t>
      </w:r>
    </w:p>
    <w:p>
      <w:pPr>
        <w:pStyle w:val="Normal"/>
        <w:ind w:left="360" w:hanging="180"/>
      </w:pPr>
      <w:r>
        <w:t xml:space="preserve">• xizmat koʻrsatuvchilarning xavfsizlik hodisalari haqidagi nashrlari, shu jumladan ularning rasmiy bloglari, status sahifalari va ommaviy hisobotlari orqali kuzatiladi;</w:t>
      </w:r>
    </w:p>
    <w:p>
      <w:pPr>
        <w:pStyle w:val="Normal"/>
        <w:ind w:left="360" w:hanging="180"/>
      </w:pPr>
      <w:r>
        <w:t xml:space="preserve">• xizmat koʻrsatuvchida sezilarli muammolar (maʼlumotlarning sizib chiqishi, sertifikatsiyaning bekor qilinishi, moliyaviy holatning yomonlashishi) aniqlanganda qayta baholash oʻtkaziladi.</w:t>
      </w:r>
    </w:p>
    <w:p>
      <w:pPr>
        <w:pStyle w:val="Normal"/>
      </w:pPr>
      <w:r>
        <w:t xml:space="preserve">Monitoring natijalari TPSP reestrida qayd etiladi.</w:t>
      </w:r>
    </w:p>
    <w:p>
      <w:pPr>
        <w:pStyle w:val="Heading1"/>
      </w:pPr>
      <w:r>
        <w:t xml:space="preserve">9\. Oʻzgarishlarni boshqarish</w:t>
      </w:r>
    </w:p>
    <w:p>
      <w:pPr>
        <w:pStyle w:val="Normal"/>
      </w:pPr>
      <w:r>
        <w:t xml:space="preserve">Quyidagi hodisalardan har qanday boʻlganda xizmat koʻrsatuvchining holati qayta koʻrib chiqiladi:</w:t>
      </w:r>
    </w:p>
    <w:p>
      <w:pPr>
        <w:pStyle w:val="Normal"/>
        <w:ind w:left="360" w:hanging="180"/>
      </w:pPr>
      <w:r>
        <w:t xml:space="preserve">• xizmat koʻrsatuvchi tomonidan koʻrsatiladigan xizmatlar roʻyxatining oʻzgarishi;</w:t>
      </w:r>
    </w:p>
    <w:p>
      <w:pPr>
        <w:pStyle w:val="Normal"/>
        <w:ind w:left="360" w:hanging="180"/>
      </w:pPr>
      <w:r>
        <w:t xml:space="preserve">• xizmat koʻrsatuvchiga uzatiladigan maʼlumotlar hajmi yoki toifasining oʻzgarishi;</w:t>
      </w:r>
    </w:p>
    <w:p>
      <w:pPr>
        <w:pStyle w:val="Normal"/>
        <w:ind w:left="360" w:hanging="180"/>
      </w:pPr>
      <w:r>
        <w:t xml:space="preserve">• xizmat koʻrsatuvchining sertifikatsiyasi/AoC muddatining tugashi;</w:t>
      </w:r>
    </w:p>
    <w:p>
      <w:pPr>
        <w:pStyle w:val="Normal"/>
        <w:ind w:left="360" w:hanging="180"/>
      </w:pPr>
      <w:r>
        <w:t xml:space="preserve">• xizmat koʻrsatuvchida xavfsizlik hodisasi haqida maʼlumot nashr etilishi;</w:t>
      </w:r>
    </w:p>
    <w:p>
      <w:pPr>
        <w:pStyle w:val="Normal"/>
        <w:ind w:left="360" w:hanging="180"/>
      </w:pPr>
      <w:r>
        <w:t xml:space="preserve">• xizmat koʻrsatuvchining egasi, yurisdiktsiyasi yoki faoliyatining muhim shartlari oʻzgarishi.</w:t>
      </w:r>
    </w:p>
    <w:p>
      <w:pPr>
        <w:pStyle w:val="Heading1"/>
      </w:pPr>
      <w:r>
        <w:t xml:space="preserve">10\. Xizmat koʻrsatuvchi bilan munosabatlarni tugatish</w:t>
      </w:r>
    </w:p>
    <w:p>
      <w:pPr>
        <w:pStyle w:val="Normal"/>
      </w:pPr>
      <w:r>
        <w:t xml:space="preserve">Xizmat koʻrsatuvchi bilan shartnomani tugatishda quyidagilar taʼminlanadi:</w:t>
      </w:r>
    </w:p>
    <w:p>
      <w:pPr>
        <w:pStyle w:val="Normal"/>
        <w:ind w:left="360" w:hanging="180"/>
      </w:pPr>
      <w:r>
        <w:t xml:space="preserve">• barcha texnik integratsiyalarni oʻz vaqtida toʻxtatish (API kalitlari, kirish tokenlari ni bekor qilish, xizmat koʻrsatuvchida va Kompaniya tizimlarida hisob qaydnomalarini oʻchirish);</w:t>
      </w:r>
    </w:p>
    <w:p>
      <w:pPr>
        <w:pStyle w:val="Normal"/>
        <w:ind w:left="360" w:hanging="180"/>
      </w:pPr>
      <w:r>
        <w:t xml:space="preserve">• xizmat koʻrsatuvchiga uzatilgan Kompaniya maʼlumotlarini qaytarish yoki yoʻq qilish, hujjatli tasdiqlash bilan;</w:t>
      </w:r>
    </w:p>
    <w:p>
      <w:pPr>
        <w:pStyle w:val="Normal"/>
        <w:ind w:left="360" w:hanging="180"/>
      </w:pPr>
      <w:r>
        <w:t xml:space="preserve">• xizmat koʻrsatuvchini faol TPSP reestridan chiqarib tashlash (belgilangan muddat davomida arxiv qismida yozuvni saqlash bilan);</w:t>
      </w:r>
    </w:p>
    <w:p>
      <w:pPr>
        <w:pStyle w:val="Normal"/>
        <w:ind w:left="360" w:hanging="180"/>
      </w:pPr>
      <w:r>
        <w:t xml:space="preserve">• xizmat koʻrsatuvchining xizmatlaridan foydalangan Kompaniya xodimlarini muqobil yechimga oʻtish tartibi haqida xabardor qilish.</w:t>
      </w:r>
    </w:p>
    <w:p>
      <w:pPr>
        <w:pStyle w:val="Heading1"/>
      </w:pPr>
      <w:r>
        <w:t xml:space="preserve">11\. Mas'ul shaxs</w:t>
      </w:r>
    </w:p>
    <w:p>
      <w:pPr>
        <w:pStyle w:val="Normal"/>
      </w:pPr>
      <w:r>
        <w:t xml:space="preserve">Ushbu Siyosatni bajarish, TPSP reestrini yuritish va xizmat koʻrsatuvchilarning muvofiqligini monitoring qilish xizmat koʻrsatuvchilar bilan ishlash boʻyicha mas'ul shaxsga yuklatiladi. Rol direktorning buyrugʻi bilan Jamiyat xodimiga yuklatiladi; ushbu Siyosatda faqat rol koʻrsatiladi, familiyalarsiz. Xizmat koʻrsatuvchilar bilan ishlash boʻyicha mas'ul shaxs xavflarni baholashni axborot xavfsizligi boʻyicha mas'ul shaxs bilan kelishadi; xizmat koʻrsatuvchilar bilan shartnoma tuzish va uni tugatish toʻgʻrisidagi qarorlarni Jamiyat direktori qabul qiladi.</w:t>
      </w:r>
    </w:p>
    <w:p>
      <w:pPr>
        <w:pStyle w:val="Heading1"/>
      </w:pPr>
      <w:r>
        <w:t xml:space="preserve">12\. Siyosatni qayta koʻrib chiqish</w:t>
      </w:r>
    </w:p>
    <w:p>
      <w:pPr>
        <w:pStyle w:val="Normal"/>
      </w:pPr>
      <w:r>
        <w:t xml:space="preserve">Ushbu Siyosat kamida 12 oyda bir marta, shuningdek, xizmat koʻrsatuvchilar tarkibining sezilarli oʻzgarishlari, Kompaniya biznes-modelidagi oʻzgarishlar, meʼyoriy-huquqiy baza yoki standartlardagi (PCI DSS) oʻzgarishlar paytida qayta koʻrib chiqiladi.</w:t>
      </w:r>
    </w:p>
    <w:p>
      <w:pPr>
        <w:pStyle w:val="Heading1"/>
      </w:pPr>
      <w:r>
        <w:t xml:space="preserve">13\. Hujjat haqida maʼlumot</w:t>
      </w:r>
    </w:p>
    <w:p>
      <w:pPr>
        <w:pStyle w:val="Normal"/>
      </w:pPr>
      <w:r>
        <w:rPr>
          <w:b/>
        </w:rPr>
        <w:t xml:space="preserve">Versiya</w:t>
      </w:r>
    </w:p>
    <w:p>
      <w:pPr>
        <w:pStyle w:val="Normal"/>
      </w:pPr>
      <w:r>
        <w:rPr>
          <w:b/>
        </w:rPr>
        <w:t xml:space="preserve">Sana</w:t>
      </w:r>
    </w:p>
    <w:p>
      <w:pPr>
        <w:pStyle w:val="Normal"/>
      </w:pPr>
      <w:r>
        <w:rPr>
          <w:b/>
        </w:rPr>
        <w:t xml:space="preserve">Oʻzgarishlar</w:t>
      </w:r>
    </w:p>
    <w:p>
      <w:pPr>
        <w:pStyle w:val="Normal"/>
      </w:pPr>
      <w:r>
        <w:rPr>
          <w:b/>
        </w:rPr>
        <w:t xml:space="preserve">Tasdiqlagan</w:t>
      </w:r>
    </w:p>
    <w:p>
      <w:pPr>
        <w:pStyle w:val="Normal"/>
      </w:pPr>
      <w:r>
        <w:t xml:space="preserve">1.0</w:t>
      </w:r>
    </w:p>
    <w:p>
      <w:pPr>
        <w:pStyle w:val="Normal"/>
      </w:pPr>
      <w:r>
        <w:t xml:space="preserve">15.05.2026</w:t>
      </w:r>
    </w:p>
    <w:p>
      <w:pPr>
        <w:pStyle w:val="Normal"/>
      </w:pPr>
      <w:r>
        <w:t xml:space="preserve">Hujjatning birinchi tasdigʻi</w:t>
      </w:r>
    </w:p>
    <w:p>
      <w:pPr>
        <w:pStyle w:val="Normal"/>
      </w:pPr>
      <w:r>
        <w:t xml:space="preserve">Jamiyat direktori</w:t>
      </w:r>
    </w:p>
    <w:p>
      <w:pPr>
        <w:pStyle w:val="Normal"/>
      </w:pPr>
      <w:r>
        <w:t xml:space="preserve">1.1</w:t>
      </w:r>
    </w:p>
    <w:p>
      <w:pPr>
        <w:pStyle w:val="Normal"/>
      </w:pPr>
      <w:r>
        <w:t xml:space="preserve">22.09.2026</w:t>
      </w:r>
    </w:p>
    <w:p>
      <w:pPr>
        <w:pStyle w:val="Normal"/>
      </w:pPr>
      <w:r>
        <w:t xml:space="preserve">Rejali qayta koʻrib chiqish: xizmat koʻrsatuvchilar reestrini yangilash (FreedomPay, Telegram); reestrdan avvalgi toʻlov akvayeri chiqarildi, toʻlov xizmati koʻrsatuvchi sifatida FreedomPay koʻrsatildi; xizmat koʻrsatuvchilar bilan ishlash boʻyicha mas'ul shaxs roli; aloqa maʼlumotlari; Jamiyat rekvizitlari</w:t>
      </w:r>
    </w:p>
    <w:p>
      <w:pPr>
        <w:pStyle w:val="Normal"/>
      </w:pPr>
      <w:r>
        <w:t xml:space="preserve">Jamiyat direktori</w:t>
      </w:r>
    </w:p>
    <w:p>
      <w:pPr>
        <w:pStyle w:val="Normal"/>
      </w:pPr>
      <w:r>
        <w:t xml:space="preserve">1.2</w:t>
      </w:r>
    </w:p>
    <w:p>
      <w:pPr>
        <w:pStyle w:val="Normal"/>
      </w:pPr>
      <w:r>
        <w:t xml:space="preserve">30.10.2026</w:t>
      </w:r>
    </w:p>
    <w:p>
      <w:pPr>
        <w:pStyle w:val="Normal"/>
      </w:pPr>
      <w:r>
        <w:t xml:space="preserve">Rejadan tashqari qayta koʻrib chiqish: xizmat koʻrsatuvchilar reestriga Click va Payme toʻlov xizmatlari hamda Voyage AI saralash xizmati qoʻshildi; reestr amalda foydalaniladigan xizmatlarga muvofiqlashtirildi</w:t>
      </w:r>
    </w:p>
    <w:p>
      <w:pPr>
        <w:pStyle w:val="Normal"/>
      </w:pPr>
      <w:r>
        <w:t xml:space="preserve">Jamiyat direktori</w:t>
      </w:r>
    </w:p>
    <w:p>
      <w:pPr>
        <w:pStyle w:val="Heading2"/>
      </w:pPr>
      <w:r>
        <w:t xml:space="preserve">Hujjatni tasdiqlash</w:t>
      </w:r>
    </w:p>
    <w:p>
      <w:pPr>
        <w:pStyle w:val="Normal"/>
      </w:pPr>
      <w:r>
        <w:t xml:space="preserve">Hujjat Jamiyat direktori tomonidan tasdiqlangan va 2026-yil 15-maydan kuchga kiritilgan. Jamiyatning axborot resurslariga kirish huquqiga ega boʻlgan barcha xodimlar, pudratchilar va boshqa shaxslar uchun hujjat bilan tanishish majburiy hisoblanadi.</w:t>
      </w:r>
    </w:p>
    <w:sectPr>
      <w:pgSz w:w="11906" w:h="16838"/>
      <w:pgMar w:top="1134" w:right="907" w:bottom="1021" w:left="907"/>
    </w:sectPr>
  </w:body>
</w:document>
</file>

<file path=word/styles.xml><?xml version="1.0" encoding="utf-8"?>
<w:styles xmlns:w="http://schemas.openxmlformats.org/wordprocessingml/2006/main">
  <w:docDefaults>
    <w:rPrDefault>
      <w:rPr>
        <w:rFonts w:ascii="Calibri" w:hAnsi="Calibri"/>
        <w:sz w:val="21"/>
      </w:rPr>
    </w:rPrDefault>
  </w:docDefaults>
  <w:style w:type="paragraph" w:styleId="Title">
    <w:name w:val="Title"/>
    <w:pPr>
      <w:spacing w:before="0" w:after="200"/>
    </w:pPr>
    <w:rPr>
      <w:rFonts w:ascii="Calibri" w:hAnsi="Calibri"/>
      <w:sz w:val="34"/>
      <w:b/>
    </w:rPr>
  </w:style>
  <w:style w:type="paragraph" w:styleId="Heading1">
    <w:name w:val="heading 1"/>
    <w:pPr>
      <w:spacing w:before="280" w:after="120"/>
      <w:outlineLvl w:val="0"/>
    </w:pPr>
    <w:rPr>
      <w:rFonts w:ascii="Calibri" w:hAnsi="Calibri"/>
      <w:sz w:val="27"/>
      <w:b/>
    </w:rPr>
  </w:style>
  <w:style w:type="paragraph" w:styleId="Heading2">
    <w:name w:val="heading 2"/>
    <w:pPr>
      <w:spacing w:before="240" w:after="100"/>
      <w:outlineLvl w:val="1"/>
    </w:pPr>
    <w:rPr>
      <w:rFonts w:ascii="Calibri" w:hAnsi="Calibri"/>
      <w:sz w:val="23"/>
      <w:b/>
    </w:rPr>
  </w:style>
  <w:style w:type="paragraph" w:styleId="Heading3">
    <w:name w:val="heading 3"/>
    <w:pPr>
      <w:spacing w:before="200" w:after="80"/>
      <w:outlineLvl w:val="2"/>
    </w:pPr>
    <w:rPr>
      <w:rFonts w:ascii="Calibri" w:hAnsi="Calibri"/>
      <w:sz w:val="21"/>
      <w:b/>
    </w:rPr>
  </w:style>
  <w:style w:type="paragraph" w:styleId="Normal">
    <w:name w:val="Normal"/>
    <w:pPr>
      <w:spacing w:before="0" w:after="120"/>
    </w:pPr>
    <w:rPr>
      <w:rFonts w:ascii="Calibri" w:hAnsi="Calibri"/>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