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MChJ</w:t>
      </w:r>
    </w:p>
    <w:p>
      <w:pPr>
        <w:pStyle w:val="Normal"/>
      </w:pPr>
      <w:r>
        <w:t xml:space="preserve">SafeLaw xizmati (safelaw.ai)</w:t>
      </w:r>
    </w:p>
    <w:p>
      <w:pPr>
        <w:pStyle w:val="Normal"/>
      </w:pPr>
      <w:r>
        <w:t xml:space="preserve">STIR: 312530703</w:t>
      </w:r>
    </w:p>
    <w:p>
      <w:pPr>
        <w:pStyle w:val="Normal"/>
      </w:pPr>
      <w:r>
        <w:t xml:space="preserve">Manzil: Oʻzbekiston Respublikasi, Qoraqalpogʻiston Respublikasi, Nukus shahri, A. S. Pushkin koʻchasi, 91/7</w:t>
      </w:r>
    </w:p>
    <w:p>
      <w:pPr>
        <w:pStyle w:val="Normal"/>
      </w:pPr>
      <w:r>
        <w:t xml:space="preserve">Elektron pochta: info@safelaw.ai. Telefon: +998 90 590 59 00</w:t>
      </w:r>
    </w:p>
    <w:p>
      <w:pPr>
        <w:pStyle w:val="Normal"/>
      </w:pPr>
      <w:r>
        <w:rPr>
          <w:b/>
        </w:rPr>
        <w:t xml:space="preserve">AXBOROT XAVFSIZLIGI HODISALARIGA JAVOB BERISH REJASI</w:t>
      </w:r>
    </w:p>
    <w:p>
      <w:pPr>
        <w:pStyle w:val="Normal"/>
      </w:pPr>
      <w:r>
        <w:t xml:space="preserve">Hujjat IRP-01</w:t>
      </w:r>
    </w:p>
    <w:p>
      <w:pPr>
        <w:pStyle w:val="Normal"/>
      </w:pPr>
      <w:r>
        <w:t xml:space="preserve">1.2-versiya</w:t>
      </w:r>
    </w:p>
    <w:p>
      <w:pPr>
        <w:pStyle w:val="Normal"/>
      </w:pPr>
      <w:r>
        <w:t xml:space="preserve">Kuchga kirish sanasi: 2026-yil 15-may</w:t>
      </w:r>
    </w:p>
    <w:p>
      <w:pPr>
        <w:pStyle w:val="Normal"/>
      </w:pPr>
      <w:r>
        <w:t xml:space="preserve">Soʻnggi qayta koʻrib chiqilgan sana: 2026-yil 30-oktabr</w:t>
      </w:r>
    </w:p>
    <w:p>
      <w:pPr>
        <w:pStyle w:val="Normal"/>
      </w:pPr>
      <w:r>
        <w:t xml:space="preserve">_Muvofiqlik: PCI DSS v4.0.1, SAQ A_</w:t>
      </w:r>
    </w:p>
    <w:p>
      <w:pPr>
        <w:pStyle w:val="Normal"/>
      </w:pPr>
      <w:r>
        <w:t xml:space="preserve">_Asosiy til: rus tili. Ushbu oʻzbek tilidagi tarjima va rus tilidagi asosiy variant oʻrtasida har qanday tafovut boʻlsa, rus tilidagi variant ustun hisoblanadi._</w:t>
      </w:r>
    </w:p>
    <w:p>
      <w:pPr>
        <w:pStyle w:val="Heading1"/>
      </w:pPr>
      <w:r>
        <w:t xml:space="preserve">1\. Maqsad</w:t>
      </w:r>
    </w:p>
    <w:p>
      <w:pPr>
        <w:pStyle w:val="Normal"/>
      </w:pPr>
      <w:r>
        <w:t xml:space="preserve">Ushbu Axborot xavfsizligi hodisalariga javob berish rejasi (keyingi oʻrinlarda — Reja) «SELLAI» MChJ (keyingi oʻrinlarda — Kompaniya) axborot xavfsizligi hodisalarini, shu jumladan SafeLaw xizmati (safelaw.ai) doirasida qayta ishlanadigan toʻlov maʼlumotlariga taʼsir koʻrsatuvchi hodisalarni aniqlashda harakat tartibini belgilaydi. Reja PCI DSS v4.0.1 (Talab 12.10) standarti talablariga muvofiq ishlab chiqilgan.</w:t>
      </w:r>
    </w:p>
    <w:p>
      <w:pPr>
        <w:pStyle w:val="Normal"/>
      </w:pPr>
      <w:r>
        <w:t xml:space="preserve">Reja maqsadlari:</w:t>
      </w:r>
    </w:p>
    <w:p>
      <w:pPr>
        <w:pStyle w:val="Normal"/>
        <w:ind w:left="360" w:hanging="180"/>
      </w:pPr>
      <w:r>
        <w:t xml:space="preserve">• axborot xavfsizligi hodisalariga tez va samarali javob berishni taʼminlash;</w:t>
      </w:r>
    </w:p>
    <w:p>
      <w:pPr>
        <w:pStyle w:val="Normal"/>
        <w:ind w:left="360" w:hanging="180"/>
      </w:pPr>
      <w:r>
        <w:t xml:space="preserve">• zararni minimallashtirish va hodisa oqibatlarining tarqalishining oldini olish;</w:t>
      </w:r>
    </w:p>
    <w:p>
      <w:pPr>
        <w:pStyle w:val="Normal"/>
        <w:ind w:left="360" w:hanging="180"/>
      </w:pPr>
      <w:r>
        <w:t xml:space="preserve">• manfaatdor tomonlarni (FreedomPay, Click va Payme toʻlov provayderlari, toʻlov tizimlari, regulyatorlar, foydalanuvchilar) oʻz vaqtida xabardor qilish;</w:t>
      </w:r>
    </w:p>
    <w:p>
      <w:pPr>
        <w:pStyle w:val="Normal"/>
        <w:ind w:left="360" w:hanging="180"/>
      </w:pPr>
      <w:r>
        <w:t xml:space="preserve">• axborot tizimlarining normal ishini tiklash;</w:t>
      </w:r>
    </w:p>
    <w:p>
      <w:pPr>
        <w:pStyle w:val="Normal"/>
        <w:ind w:left="360" w:hanging="180"/>
      </w:pPr>
      <w:r>
        <w:t xml:space="preserve">• hodisa natijalari boʻyicha saboqlar olish va himoya choralarini takomillashtirish.</w:t>
      </w:r>
    </w:p>
    <w:p>
      <w:pPr>
        <w:pStyle w:val="Heading1"/>
      </w:pPr>
      <w:r>
        <w:t xml:space="preserve">2\. Qoʻllash sohasi</w:t>
      </w:r>
    </w:p>
    <w:p>
      <w:pPr>
        <w:pStyle w:val="Normal"/>
      </w:pPr>
      <w:r>
        <w:t xml:space="preserve">Reja quyidagilarga taʼsir koʻrsatuvchi barcha axborot xavfsizligi hodisalariga tatbiq etiladi:</w:t>
      </w:r>
    </w:p>
    <w:p>
      <w:pPr>
        <w:pStyle w:val="Normal"/>
        <w:ind w:left="360" w:hanging="180"/>
      </w:pPr>
      <w:r>
        <w:t xml:space="preserve">• Kompaniyaning axborot tizimlari;</w:t>
      </w:r>
    </w:p>
    <w:p>
      <w:pPr>
        <w:pStyle w:val="Normal"/>
        <w:ind w:left="360" w:hanging="180"/>
      </w:pPr>
      <w:r>
        <w:t xml:space="preserve">• SafeLaw xizmati foydalanuvchilarining maʼlumotlari;</w:t>
      </w:r>
    </w:p>
    <w:p>
      <w:pPr>
        <w:pStyle w:val="Normal"/>
        <w:ind w:left="360" w:hanging="180"/>
      </w:pPr>
      <w:r>
        <w:t xml:space="preserve">• toʻlov operatsiyalari ishlashini taʼminlovchi infratuzilma;</w:t>
      </w:r>
    </w:p>
    <w:p>
      <w:pPr>
        <w:pStyle w:val="Normal"/>
        <w:ind w:left="360" w:hanging="180"/>
      </w:pPr>
      <w:r>
        <w:t xml:space="preserve">• Kompaniyaning ishbilarmonlik obroʻsi.</w:t>
      </w:r>
    </w:p>
    <w:p>
      <w:pPr>
        <w:pStyle w:val="Normal"/>
      </w:pPr>
      <w:r>
        <w:t xml:space="preserve">Reja Kompaniyaning barcha xodimlari va pudratchilari uchun majburiy.</w:t>
      </w:r>
    </w:p>
    <w:p>
      <w:pPr>
        <w:pStyle w:val="Heading1"/>
      </w:pPr>
      <w:r>
        <w:t xml:space="preserve">3\. Atamalar</w:t>
      </w:r>
    </w:p>
    <w:p>
      <w:pPr>
        <w:pStyle w:val="Normal"/>
      </w:pPr>
      <w:r>
        <w:rPr>
          <w:b/>
        </w:rPr>
        <w:t xml:space="preserve">Axborot xavfsizligi hodisasi (event)</w:t>
      </w:r>
      <w:r>
        <w:t xml:space="preserve"> — tizim, xizmat yoki tarmoqning axborot xavfsizligining ehtimoliy buzilishini koʻrsatuvchi aniqlangan holati.</w:t>
      </w:r>
    </w:p>
    <w:p>
      <w:pPr>
        <w:pStyle w:val="Normal"/>
      </w:pPr>
      <w:r>
        <w:rPr>
          <w:b/>
        </w:rPr>
        <w:t xml:space="preserve">Axborot xavfsizligi insidenti (incident)</w:t>
      </w:r>
      <w:r>
        <w:t xml:space="preserve"> — biznes-faoliyatni buzish ehtimoli sezilarli va axborot xavfsizligiga tahdid soluvchi bir yoki bir nechta nomaqbul yoki kutilmagan axborot xavfsizligi hodisalari.</w:t>
      </w:r>
    </w:p>
    <w:p>
      <w:pPr>
        <w:pStyle w:val="Normal"/>
      </w:pPr>
      <w:r>
        <w:rPr>
          <w:b/>
        </w:rPr>
        <w:t xml:space="preserve">Maʼlumotlarning buzilishi</w:t>
      </w:r>
      <w:r>
        <w:t xml:space="preserve"> — maʼlumotlarga ruxsatsiz kirish, oshkor qilish, oʻzgartirish yoki yoʻq qilish bilan bogʻliq haqiqiy yoki gumon qilingan holat.</w:t>
      </w:r>
    </w:p>
    <w:p>
      <w:pPr>
        <w:pStyle w:val="Normal"/>
      </w:pPr>
      <w:r>
        <w:rPr>
          <w:b/>
        </w:rPr>
        <w:t xml:space="preserve">Javob berish jamoasi (IRT — Incident Response Team)</w:t>
      </w:r>
      <w:r>
        <w:t xml:space="preserve"> — axborot xavfsizligi hodisalariga javob berish uchun mas'ul shaxslar guruhi.</w:t>
      </w:r>
    </w:p>
    <w:p>
      <w:pPr>
        <w:pStyle w:val="Heading1"/>
      </w:pPr>
      <w:r>
        <w:t xml:space="preserve">4\. Hodisalarni tasniflash</w:t>
      </w:r>
    </w:p>
    <w:p>
      <w:pPr>
        <w:pStyle w:val="Normal"/>
      </w:pPr>
      <w:r>
        <w:t xml:space="preserve">Hodisalar kritiklik darajasi boʻyicha tasniflanadi:</w:t>
      </w:r>
    </w:p>
    <w:p>
      <w:pPr>
        <w:pStyle w:val="Normal"/>
      </w:pPr>
      <w:r>
        <w:rPr>
          <w:b/>
        </w:rPr>
        <w:t xml:space="preserve">Daraja</w:t>
      </w:r>
    </w:p>
    <w:p>
      <w:pPr>
        <w:pStyle w:val="Normal"/>
      </w:pPr>
      <w:r>
        <w:rPr>
          <w:b/>
        </w:rPr>
        <w:t xml:space="preserve">Nomi</w:t>
      </w:r>
    </w:p>
    <w:p>
      <w:pPr>
        <w:pStyle w:val="Normal"/>
      </w:pPr>
      <w:r>
        <w:rPr>
          <w:b/>
        </w:rPr>
        <w:t xml:space="preserve">Tavsifi</w:t>
      </w:r>
    </w:p>
    <w:p>
      <w:pPr>
        <w:pStyle w:val="Normal"/>
      </w:pPr>
      <w:r>
        <w:t xml:space="preserve">P1</w:t>
      </w:r>
    </w:p>
    <w:p>
      <w:pPr>
        <w:pStyle w:val="Normal"/>
      </w:pPr>
      <w:r>
        <w:t xml:space="preserve">Kritik</w:t>
      </w:r>
    </w:p>
    <w:p>
      <w:pPr>
        <w:pStyle w:val="Normal"/>
      </w:pPr>
      <w:r>
        <w:t xml:space="preserve">Toʻlov kartalari maʼlumotlarining buzilishi; administrativ imtiyozlarga ega hisob qaydnomalarining buzilishi; xizmat mavjud emasligining katta hajmi (&gt;4 soat); ishlab chiqarish infratuzilmasida zararli dasturiy taʼminot mavjudligi gumoni.</w:t>
      </w:r>
    </w:p>
    <w:p>
      <w:pPr>
        <w:pStyle w:val="Normal"/>
      </w:pPr>
      <w:r>
        <w:t xml:space="preserve">P2</w:t>
      </w:r>
    </w:p>
    <w:p>
      <w:pPr>
        <w:pStyle w:val="Normal"/>
      </w:pPr>
      <w:r>
        <w:t xml:space="preserve">Yuqori</w:t>
      </w:r>
    </w:p>
    <w:p>
      <w:pPr>
        <w:pStyle w:val="Normal"/>
      </w:pPr>
      <w:r>
        <w:t xml:space="preserve">Foydalanuvchilarning shaxsiy maʼlumotlarining sizib chiqishi; xizmat foydalanuvchilari hisob qaydnomalarining buzilishi; maqsadli hujumlar (rahbariyatga fishing, buzish urinishlari); ommaviy xizmatlarning jiddiy zaifliklari.</w:t>
      </w:r>
    </w:p>
    <w:p>
      <w:pPr>
        <w:pStyle w:val="Normal"/>
      </w:pPr>
      <w:r>
        <w:t xml:space="preserve">P3</w:t>
      </w:r>
    </w:p>
    <w:p>
      <w:pPr>
        <w:pStyle w:val="Normal"/>
      </w:pPr>
      <w:r>
        <w:t xml:space="preserve">Oʻrta</w:t>
      </w:r>
    </w:p>
    <w:p>
      <w:pPr>
        <w:pStyle w:val="Normal"/>
      </w:pPr>
      <w:r>
        <w:t xml:space="preserve">Buzilishga olib kelmagan shubhali faollik; alohida fishing holatlari; oqibatsiz hisob qaydnomalariga ruxsatsiz kirish urinishlari.</w:t>
      </w:r>
    </w:p>
    <w:p>
      <w:pPr>
        <w:pStyle w:val="Normal"/>
      </w:pPr>
      <w:r>
        <w:t xml:space="preserve">P4</w:t>
      </w:r>
    </w:p>
    <w:p>
      <w:pPr>
        <w:pStyle w:val="Normal"/>
      </w:pPr>
      <w:r>
        <w:t xml:space="preserve">Past</w:t>
      </w:r>
    </w:p>
    <w:p>
      <w:pPr>
        <w:pStyle w:val="Normal"/>
      </w:pPr>
      <w:r>
        <w:t xml:space="preserve">Sezilarli oqibatlarsiz axborot xavfsizligi siyosatlarining buzilishi; hujum belgilarisiz texnik nosozliklar.</w:t>
      </w:r>
    </w:p>
    <w:p>
      <w:pPr>
        <w:pStyle w:val="Heading1"/>
      </w:pPr>
      <w:r>
        <w:t xml:space="preserve">5\. Hodisa turlariga misollar</w:t>
      </w:r>
    </w:p>
    <w:p>
      <w:pPr>
        <w:pStyle w:val="Normal"/>
        <w:ind w:left="360" w:hanging="180"/>
      </w:pPr>
      <w:r>
        <w:t xml:space="preserve">• serverlar, maʼlumotlar bazalari yoki administrativ panellarga ruxsatsiz kirish;</w:t>
      </w:r>
    </w:p>
    <w:p>
      <w:pPr>
        <w:pStyle w:val="Normal"/>
        <w:ind w:left="360" w:hanging="180"/>
      </w:pPr>
      <w:r>
        <w:t xml:space="preserve">• hisob qaydnomasining buzilishi (parolning oshkor boʻlishi, tokenning oʻgʻirlanishi);</w:t>
      </w:r>
    </w:p>
    <w:p>
      <w:pPr>
        <w:pStyle w:val="Normal"/>
        <w:ind w:left="360" w:hanging="180"/>
      </w:pPr>
      <w:r>
        <w:t xml:space="preserve">• qurilmalar yoki serverlardagi zararli dasturiy taʼminot;</w:t>
      </w:r>
    </w:p>
    <w:p>
      <w:pPr>
        <w:pStyle w:val="Normal"/>
        <w:ind w:left="360" w:hanging="180"/>
      </w:pPr>
      <w:r>
        <w:t xml:space="preserve">• shaxsiy maʼlumotlar yoki boshqa maxfiy axborotning sizib chiqishi;</w:t>
      </w:r>
    </w:p>
    <w:p>
      <w:pPr>
        <w:pStyle w:val="Normal"/>
        <w:ind w:left="360" w:hanging="180"/>
      </w:pPr>
      <w:r>
        <w:t xml:space="preserve">• foydalanuvchilarning toʻlov kartalari maʼlumotlarining buzilishi gumoni;</w:t>
      </w:r>
    </w:p>
    <w:p>
      <w:pPr>
        <w:pStyle w:val="Normal"/>
        <w:ind w:left="360" w:hanging="180"/>
      </w:pPr>
      <w:r>
        <w:t xml:space="preserve">• DDoS-hujumlari va xizmatning mavjud boʻlmasligi;</w:t>
      </w:r>
    </w:p>
    <w:p>
      <w:pPr>
        <w:pStyle w:val="Normal"/>
        <w:ind w:left="360" w:hanging="180"/>
      </w:pPr>
      <w:r>
        <w:t xml:space="preserve">• xodimlar yoki foydalanuvchilarga qarshi fishing hujumlari;</w:t>
      </w:r>
    </w:p>
    <w:p>
      <w:pPr>
        <w:pStyle w:val="Normal"/>
        <w:ind w:left="360" w:hanging="180"/>
      </w:pPr>
      <w:r>
        <w:t xml:space="preserve">• manba kodida yoki konfiguratsiyalarda kalitlar, parollar, hisob qaydnomalari maʼlumotlarini topish;</w:t>
      </w:r>
    </w:p>
    <w:p>
      <w:pPr>
        <w:pStyle w:val="Normal"/>
        <w:ind w:left="360" w:hanging="180"/>
      </w:pPr>
      <w:r>
        <w:t xml:space="preserve">• toʻlov sahifalariga aralashishning aniqlanishi (ruxsatsiz JavaScript, formalardagi oʻzgarishlar);</w:t>
      </w:r>
    </w:p>
    <w:p>
      <w:pPr>
        <w:pStyle w:val="Normal"/>
        <w:ind w:left="360" w:hanging="180"/>
      </w:pPr>
      <w:r>
        <w:t xml:space="preserve">• xizmat koʻrsatuvchilardagi (TPSP) Kompaniya infratuzilmasiga taʼsir qiluvchi hodisalar.</w:t>
      </w:r>
    </w:p>
    <w:p>
      <w:pPr>
        <w:pStyle w:val="Heading1"/>
      </w:pPr>
      <w:r>
        <w:t xml:space="preserve">6\. Javob berish jamoasi</w:t>
      </w:r>
    </w:p>
    <w:p>
      <w:pPr>
        <w:pStyle w:val="Normal"/>
      </w:pPr>
      <w:r>
        <w:t xml:space="preserve">Javob berish jamoasi (IRT) doimiy asosda shakllantiriladi. Jamoadagi rollar direktorning buyrugʻi bilan Jamiyat xodimlariga yuklatiladi; ushbu Rejada faqat rol koʻrsatiladi, familiyalarsiz. Jamoa tarkibi:</w:t>
      </w:r>
    </w:p>
    <w:p>
      <w:pPr>
        <w:pStyle w:val="Normal"/>
      </w:pPr>
      <w:r>
        <w:rPr>
          <w:b/>
        </w:rPr>
        <w:t xml:space="preserve">Rol</w:t>
      </w:r>
    </w:p>
    <w:p>
      <w:pPr>
        <w:pStyle w:val="Normal"/>
      </w:pPr>
      <w:r>
        <w:rPr>
          <w:b/>
        </w:rPr>
        <w:t xml:space="preserve">Vazifalar</w:t>
      </w:r>
    </w:p>
    <w:p>
      <w:pPr>
        <w:pStyle w:val="Normal"/>
      </w:pPr>
      <w:r>
        <w:rPr>
          <w:b/>
        </w:rPr>
        <w:t xml:space="preserve">Tayinlash</w:t>
      </w:r>
    </w:p>
    <w:p>
      <w:pPr>
        <w:pStyle w:val="Normal"/>
      </w:pPr>
      <w:r>
        <w:t xml:space="preserve">Hodisalarga javob berish jamoasi rahbari</w:t>
      </w:r>
    </w:p>
    <w:p>
      <w:pPr>
        <w:pStyle w:val="Normal"/>
      </w:pPr>
      <w:r>
        <w:t xml:space="preserve">Javob berishning umumiy muvofiqlashtirilishi; hodisaning borishini yuritish; Jamiyat direktoriga eskalatsiya qilish; direktor qaroriga koʻra tashqi tomonlarga xabarnomalar yuborish.</w:t>
      </w:r>
    </w:p>
    <w:p>
      <w:pPr>
        <w:pStyle w:val="Normal"/>
      </w:pPr>
      <w:r>
        <w:t xml:space="preserve">Direktor buyrugʻi bilan Jamiyat xodimiga yuklatiladi</w:t>
      </w:r>
    </w:p>
    <w:p>
      <w:pPr>
        <w:pStyle w:val="Normal"/>
      </w:pPr>
      <w:r>
        <w:t xml:space="preserve">Axborot xavfsizligi boʻyicha mas'ul shaxs</w:t>
      </w:r>
    </w:p>
    <w:p>
      <w:pPr>
        <w:pStyle w:val="Normal"/>
      </w:pPr>
      <w:r>
        <w:t xml:space="preserve">Hodisalar haqidagi xabarlarni qabul qilish; texnik tahlil; tahdidni mahalliylashtirish va bartaraf etish; hodisalar jurnalini yuritish; javob berish jamoasi rahbarini xabardor qilish.</w:t>
      </w:r>
    </w:p>
    <w:p>
      <w:pPr>
        <w:pStyle w:val="Normal"/>
      </w:pPr>
      <w:r>
        <w:t xml:space="preserve">Direktor buyrugʻi bilan Jamiyat xodimiga yuklatiladi</w:t>
      </w:r>
    </w:p>
    <w:p>
      <w:pPr>
        <w:pStyle w:val="Normal"/>
      </w:pPr>
      <w:r>
        <w:t xml:space="preserve">Infratuzilma administratori</w:t>
      </w:r>
    </w:p>
    <w:p>
      <w:pPr>
        <w:pStyle w:val="Normal"/>
      </w:pPr>
      <w:r>
        <w:t xml:space="preserve">Infratuzilma, serverlar, maʼlumotlar bazalari, tarmoq bilan ishlash; taʼsirlangan tizimlarni izolyatsiya qilish; tizimlarni tiklash.</w:t>
      </w:r>
    </w:p>
    <w:p>
      <w:pPr>
        <w:pStyle w:val="Normal"/>
      </w:pPr>
      <w:r>
        <w:t xml:space="preserve">Direktor buyrugʻi bilan Jamiyat xodimiga yuklatiladi</w:t>
      </w:r>
    </w:p>
    <w:p>
      <w:pPr>
        <w:pStyle w:val="Normal"/>
      </w:pPr>
      <w:r>
        <w:t xml:space="preserve">Shaxsiy maʼlumotlarni qayta ishlash boʻyicha mas'ul shaxs</w:t>
      </w:r>
    </w:p>
    <w:p>
      <w:pPr>
        <w:pStyle w:val="Normal"/>
      </w:pPr>
      <w:r>
        <w:t xml:space="preserve">Shaxsiy maʼlumotlar qismidagi huquqiy oqibatlarni baholash; vakolatli davlat organi va taʼsirlangan foydalanuvchilar uchun xabarnomalarni tayyorlash; zarur boʻlganda tashqi yuridik maslahatchi jalb qilinadi.</w:t>
      </w:r>
    </w:p>
    <w:p>
      <w:pPr>
        <w:pStyle w:val="Normal"/>
      </w:pPr>
      <w:r>
        <w:t xml:space="preserve">Direktor buyrugʻi bilan Jamiyat xodimiga yuklatiladi</w:t>
      </w:r>
    </w:p>
    <w:p>
      <w:pPr>
        <w:pStyle w:val="Normal"/>
      </w:pPr>
      <w:r>
        <w:t xml:space="preserve">Xizmat koʻrsatuvchilar bilan ishlash boʻyicha mas'ul shaxs</w:t>
      </w:r>
    </w:p>
    <w:p>
      <w:pPr>
        <w:pStyle w:val="Normal"/>
      </w:pPr>
      <w:r>
        <w:t xml:space="preserve">Hodisa davomida xizmat koʻrsatuvchilar (TPSP) bilan oʻzaro aloqa; ularga xabarnomalar yuborish.</w:t>
      </w:r>
    </w:p>
    <w:p>
      <w:pPr>
        <w:pStyle w:val="Normal"/>
      </w:pPr>
      <w:r>
        <w:t xml:space="preserve">Direktor buyrugʻi bilan Jamiyat xodimiga yuklatiladi</w:t>
      </w:r>
    </w:p>
    <w:p>
      <w:pPr>
        <w:pStyle w:val="Normal"/>
      </w:pPr>
      <w:r>
        <w:t xml:space="preserve">Jamiyat direktori ushbu Rejani tasdiqlaydi, eskalatsiya va tashqi tomonlarni xabardor qilish boʻyicha qarorlar qabul qiladi. Direktor hodisalarga javob berish jamoasi rahbari rolini bir vaqtning oʻzida bajarmaydi.</w:t>
      </w:r>
    </w:p>
    <w:p>
      <w:pPr>
        <w:pStyle w:val="Normal"/>
      </w:pPr>
      <w:r>
        <w:t xml:space="preserve">Jamoa aloqa maʼlumotlari:</w:t>
      </w:r>
    </w:p>
    <w:p>
      <w:pPr>
        <w:pStyle w:val="Normal"/>
        <w:ind w:left="360" w:hanging="180"/>
      </w:pPr>
      <w:r>
        <w:t xml:space="preserve">• Hodisalar boʻyicha «issiq liniya»: security@safelaw.ai, telefon +998 90 590 59 00;</w:t>
      </w:r>
    </w:p>
    <w:p>
      <w:pPr>
        <w:pStyle w:val="Normal"/>
        <w:ind w:left="360" w:hanging="180"/>
      </w:pPr>
      <w:r>
        <w:t xml:space="preserve">• Jamiyat direktoriga eskalatsiya: info@safelaw.ai manziliga «Eskalatsiya» belgisi bilan va +998 90 590 59 00 telefon raqami orqali;</w:t>
      </w:r>
    </w:p>
    <w:p>
      <w:pPr>
        <w:pStyle w:val="Normal"/>
        <w:ind w:left="360" w:hanging="180"/>
      </w:pPr>
      <w:r>
        <w:t xml:space="preserve">• Muqobil aloqa kanali: Kompaniyaning ichki messenjeri.</w:t>
      </w:r>
    </w:p>
    <w:p>
      <w:pPr>
        <w:pStyle w:val="Normal"/>
      </w:pPr>
      <w:r>
        <w:t xml:space="preserve">Javob berish jamoasi 24/7 rejimida ishlaydi. Mas'ul shaxslar koʻrsatilgan kanallar orqali sutka davomida mavjudlikni taʼminlaydilar yoki yoʻq boʻlgan davrda oʻrnini bosadigan shaxslarni tayinlaydilar.</w:t>
      </w:r>
    </w:p>
    <w:p>
      <w:pPr>
        <w:pStyle w:val="Heading1"/>
      </w:pPr>
      <w:r>
        <w:t xml:space="preserve">7\. Hodisaga javob berish bosqichlari</w:t>
      </w:r>
    </w:p>
    <w:p>
      <w:pPr>
        <w:pStyle w:val="Heading2"/>
      </w:pPr>
      <w:r>
        <w:t xml:space="preserve">7.1. Tayyorgarlik</w:t>
      </w:r>
    </w:p>
    <w:p>
      <w:pPr>
        <w:pStyle w:val="Normal"/>
      </w:pPr>
      <w:r>
        <w:t xml:space="preserve">Tayyorgarlik bosqichi doimiy asosda amalga oshiriladi va quyidagilarni oʻz ichiga oladi:</w:t>
      </w:r>
    </w:p>
    <w:p>
      <w:pPr>
        <w:pStyle w:val="Normal"/>
        <w:ind w:left="360" w:hanging="180"/>
      </w:pPr>
      <w:r>
        <w:t xml:space="preserve">• ushbu Rejaning dolzarbligini saqlash;</w:t>
      </w:r>
    </w:p>
    <w:p>
      <w:pPr>
        <w:pStyle w:val="Normal"/>
        <w:ind w:left="360" w:hanging="180"/>
      </w:pPr>
      <w:r>
        <w:t xml:space="preserve">• xodimlar va javob berish jamoasi aʼzolarini oʻqitishni oʻtkazish;</w:t>
      </w:r>
    </w:p>
    <w:p>
      <w:pPr>
        <w:pStyle w:val="Normal"/>
        <w:ind w:left="360" w:hanging="180"/>
      </w:pPr>
      <w:r>
        <w:t xml:space="preserve">• monitoring, jurnal yuritish va javob berish uchun texnik vositalarni taʼminlash;</w:t>
      </w:r>
    </w:p>
    <w:p>
      <w:pPr>
        <w:pStyle w:val="Normal"/>
        <w:ind w:left="360" w:hanging="180"/>
      </w:pPr>
      <w:r>
        <w:t xml:space="preserve">• tashqi tomonlar (FreedomPay, Click va Payme toʻlov provayderlari, xizmat koʻrsatuvchilar, yuridik maslahatchilar) bilan aloqa reestrini yuritish;</w:t>
      </w:r>
    </w:p>
    <w:p>
      <w:pPr>
        <w:pStyle w:val="Normal"/>
        <w:ind w:left="360" w:hanging="180"/>
      </w:pPr>
      <w:r>
        <w:t xml:space="preserve">• Rejani kamida 12 oyda bir marta sinab koʻrish.</w:t>
      </w:r>
    </w:p>
    <w:p>
      <w:pPr>
        <w:pStyle w:val="Heading2"/>
      </w:pPr>
      <w:r>
        <w:t xml:space="preserve">7.2. Aniqlash va tahlil qilish</w:t>
      </w:r>
    </w:p>
    <w:p>
      <w:pPr>
        <w:pStyle w:val="Normal"/>
      </w:pPr>
      <w:r>
        <w:t xml:space="preserve">Hodisalarni aniqlash manbalari:</w:t>
      </w:r>
    </w:p>
    <w:p>
      <w:pPr>
        <w:pStyle w:val="Normal"/>
        <w:ind w:left="360" w:hanging="180"/>
      </w:pPr>
      <w:r>
        <w:t xml:space="preserve">• xodimlar va foydalanuvchilarning xabarlari;</w:t>
      </w:r>
    </w:p>
    <w:p>
      <w:pPr>
        <w:pStyle w:val="Normal"/>
        <w:ind w:left="360" w:hanging="180"/>
      </w:pPr>
      <w:r>
        <w:t xml:space="preserve">• monitoring tizimlari, jurnal yuritish, antivirus tizimlari, server tarmoqlararo ekrani;</w:t>
      </w:r>
    </w:p>
    <w:p>
      <w:pPr>
        <w:pStyle w:val="Normal"/>
        <w:ind w:left="360" w:hanging="180"/>
      </w:pPr>
      <w:r>
        <w:t xml:space="preserve">• xizmat koʻrsatuvchilardan (FreedomPay, Click va Payme toʻlov provayderlari, xosting-provayder) xabarnomalar;</w:t>
      </w:r>
    </w:p>
    <w:p>
      <w:pPr>
        <w:pStyle w:val="Normal"/>
        <w:ind w:left="360" w:hanging="180"/>
      </w:pPr>
      <w:r>
        <w:t xml:space="preserve">• toʻlov tizimlari va regulyatorlardan xabarnomalar;</w:t>
      </w:r>
    </w:p>
    <w:p>
      <w:pPr>
        <w:pStyle w:val="Normal"/>
        <w:ind w:left="360" w:hanging="180"/>
      </w:pPr>
      <w:r>
        <w:t xml:space="preserve">• ommaviy axborot vositalari va zaifliklar bazalaridagi nashrlar.</w:t>
      </w:r>
    </w:p>
    <w:p>
      <w:pPr>
        <w:pStyle w:val="Normal"/>
      </w:pPr>
      <w:r>
        <w:t xml:space="preserve">Aniqlash va tahlil qilish bosqichidagi harakatlar:</w:t>
      </w:r>
    </w:p>
    <w:p>
      <w:pPr>
        <w:pStyle w:val="Normal"/>
        <w:ind w:left="360" w:hanging="180"/>
      </w:pPr>
      <w:r>
        <w:t xml:space="preserve">• Hodisani aniqlagan shaxs zudlik bilan (aniqlangandan keyin 30 daqiqa ichida) axborot xavfsizligi boʻyicha mas'ul shaxsga security@safelaw.ai manziliga yoki +998 90 590 59 00 telefon raqamiga xabar beradi.</w:t>
      </w:r>
    </w:p>
    <w:p>
      <w:pPr>
        <w:pStyle w:val="Normal"/>
        <w:ind w:left="360" w:hanging="180"/>
      </w:pPr>
      <w:r>
        <w:t xml:space="preserve">• Axborot xavfsizligi boʻyicha mas'ul shaxs hodisa jurnalida hodisa yozuvini ochib, sana, vaqt, manba, tavsif, dastlabki tasniflashni koʻrsatadi.</w:t>
      </w:r>
    </w:p>
    <w:p>
      <w:pPr>
        <w:pStyle w:val="Normal"/>
        <w:ind w:left="360" w:hanging="180"/>
      </w:pPr>
      <w:r>
        <w:t xml:space="preserve">• Dastlabki tahlil oʻtkaziladi: hodisa faktini tasdiqlash, koʻlamini baholash, kritiklik darajasi boʻyicha tasniflash.</w:t>
      </w:r>
    </w:p>
    <w:p>
      <w:pPr>
        <w:pStyle w:val="Normal"/>
        <w:ind w:left="360" w:hanging="180"/>
      </w:pPr>
      <w:r>
        <w:t xml:space="preserve">• P1 va P2 darajadagi hodisalar uchun axborot xavfsizligi boʻyicha mas'ul shaxs hodisa tasdiqlangandan keyin 1 soat ichida hodisalarga javob berish jamoasi rahbarini xabardor qiladi.</w:t>
      </w:r>
    </w:p>
    <w:p>
      <w:pPr>
        <w:pStyle w:val="Normal"/>
        <w:ind w:left="360" w:hanging="180"/>
      </w:pPr>
      <w:r>
        <w:t xml:space="preserve">• Hodisalarga javob berish jamoasi rahbari P1 va P2 darajadagi hodisalarni Jamiyat direktoriga eskalatsiya qiladi; tashqi tomonlarni xabardor qilish toʻgʻrisidagi qarorni direktor qabul qiladi.</w:t>
      </w:r>
    </w:p>
    <w:p>
      <w:pPr>
        <w:pStyle w:val="Heading2"/>
      </w:pPr>
      <w:r>
        <w:t xml:space="preserve">7.3. Mahalliylashtirish</w:t>
      </w:r>
    </w:p>
    <w:p>
      <w:pPr>
        <w:pStyle w:val="Normal"/>
      </w:pPr>
      <w:r>
        <w:t xml:space="preserve">Bosqichning maqsadi — hodisaning tarqalishini cheklash va zararni minimallashtirish. Harakatlar:</w:t>
      </w:r>
    </w:p>
    <w:p>
      <w:pPr>
        <w:pStyle w:val="Normal"/>
        <w:ind w:left="360" w:hanging="180"/>
      </w:pPr>
      <w:r>
        <w:t xml:space="preserve">• buzilgan tizimlarni tarmoqdan izolyatsiya qilish (zarur boʻlganda);</w:t>
      </w:r>
    </w:p>
    <w:p>
      <w:pPr>
        <w:pStyle w:val="Normal"/>
        <w:ind w:left="360" w:hanging="180"/>
      </w:pPr>
      <w:r>
        <w:t xml:space="preserve">• buzilgan hisob qaydnomalarini blokirovka qilish;</w:t>
      </w:r>
    </w:p>
    <w:p>
      <w:pPr>
        <w:pStyle w:val="Normal"/>
        <w:ind w:left="360" w:hanging="180"/>
      </w:pPr>
      <w:r>
        <w:t xml:space="preserve">• parollar, API kalitlari, kirish tokenlarini almashtirish;</w:t>
      </w:r>
    </w:p>
    <w:p>
      <w:pPr>
        <w:pStyle w:val="Normal"/>
        <w:ind w:left="360" w:hanging="180"/>
      </w:pPr>
      <w:r>
        <w:t xml:space="preserve">• server tarmoqlararo ekrani va veb-serverda qoʻshimcha himoya qoidalarini yoqish;</w:t>
      </w:r>
    </w:p>
    <w:p>
      <w:pPr>
        <w:pStyle w:val="Normal"/>
        <w:ind w:left="360" w:hanging="180"/>
      </w:pPr>
      <w:r>
        <w:t xml:space="preserve">• toʻlov maʼlumotlarining buzilishi gumonida — toʻlov provayderi (FreedomPay) bilan kelishilgan holda tegishli toʻlov operatsiyalarini toʻxtatish.</w:t>
      </w:r>
    </w:p>
    <w:p>
      <w:pPr>
        <w:pStyle w:val="Normal"/>
      </w:pPr>
      <w:r>
        <w:t xml:space="preserve">Mahalliylashtirish bosqichida keyingi tahlil uchun dalillarni saqlash majburiy: operativ xotira tasvirlari, jurnal nusxalari, fayl tizimi artefaktlari.</w:t>
      </w:r>
    </w:p>
    <w:p>
      <w:pPr>
        <w:pStyle w:val="Heading2"/>
      </w:pPr>
      <w:r>
        <w:t xml:space="preserve">7.4. Bartaraf etish</w:t>
      </w:r>
    </w:p>
    <w:p>
      <w:pPr>
        <w:pStyle w:val="Normal"/>
      </w:pPr>
      <w:r>
        <w:t xml:space="preserve">Hodisa sabablarini bartaraf etish boʻyicha harakatlar:</w:t>
      </w:r>
    </w:p>
    <w:p>
      <w:pPr>
        <w:pStyle w:val="Normal"/>
        <w:ind w:left="360" w:hanging="180"/>
      </w:pPr>
      <w:r>
        <w:t xml:space="preserve">• zararli dasturiy taʼminotni oʻchirish;</w:t>
      </w:r>
    </w:p>
    <w:p>
      <w:pPr>
        <w:pStyle w:val="Normal"/>
        <w:ind w:left="360" w:hanging="180"/>
      </w:pPr>
      <w:r>
        <w:t xml:space="preserve">• buzg'unchi tomonidan foydalanilgan zaifliklarni bartaraf etish (yangilanishlarni oʻrnatish, konfiguratsiyani oʻzgartirish);</w:t>
      </w:r>
    </w:p>
    <w:p>
      <w:pPr>
        <w:pStyle w:val="Normal"/>
        <w:ind w:left="360" w:hanging="180"/>
      </w:pPr>
      <w:r>
        <w:t xml:space="preserve">• zararlangan tizimlarda himoya vositalarini mustahkamlash;</w:t>
      </w:r>
    </w:p>
    <w:p>
      <w:pPr>
        <w:pStyle w:val="Normal"/>
        <w:ind w:left="360" w:hanging="180"/>
      </w:pPr>
      <w:r>
        <w:t xml:space="preserve">• zarur boʻlganda — buzilgan tizimlarni «noldan» qayta oʻrnatish.</w:t>
      </w:r>
    </w:p>
    <w:p>
      <w:pPr>
        <w:pStyle w:val="Heading2"/>
      </w:pPr>
      <w:r>
        <w:t xml:space="preserve">7.5. Tiklash</w:t>
      </w:r>
    </w:p>
    <w:p>
      <w:pPr>
        <w:pStyle w:val="Normal"/>
      </w:pPr>
      <w:r>
        <w:t xml:space="preserve">Normal ishni tiklash boʻyicha harakatlar:</w:t>
      </w:r>
    </w:p>
    <w:p>
      <w:pPr>
        <w:pStyle w:val="Normal"/>
        <w:ind w:left="360" w:hanging="180"/>
      </w:pPr>
      <w:r>
        <w:t xml:space="preserve">• tizimlarni ishonchli zaxira nusxalardan yoki etalon tasvirlardan tiklash;</w:t>
      </w:r>
    </w:p>
    <w:p>
      <w:pPr>
        <w:pStyle w:val="Normal"/>
        <w:ind w:left="360" w:hanging="180"/>
      </w:pPr>
      <w:r>
        <w:t xml:space="preserve">• tiklangan tizimlarni kuchaytirilgan monitoring bilan ishga bosqichma-bosqich qaytarish;</w:t>
      </w:r>
    </w:p>
    <w:p>
      <w:pPr>
        <w:pStyle w:val="Normal"/>
        <w:ind w:left="360" w:hanging="180"/>
      </w:pPr>
      <w:r>
        <w:t xml:space="preserve">• tizimlarning toʻgʻri ishlashini va qayta buzilish belgilari yoʻqligini tekshirish;</w:t>
      </w:r>
    </w:p>
    <w:p>
      <w:pPr>
        <w:pStyle w:val="Normal"/>
        <w:ind w:left="360" w:hanging="180"/>
      </w:pPr>
      <w:r>
        <w:t xml:space="preserve">• ishni tiklash haqida foydalanuvchilar va hamkorlarni xabardor qilish (zarur boʻlganda).</w:t>
      </w:r>
    </w:p>
    <w:p>
      <w:pPr>
        <w:pStyle w:val="Heading2"/>
      </w:pPr>
      <w:r>
        <w:t xml:space="preserve">7.6. Natijalarni tahlil qilish va saboqlar olish</w:t>
      </w:r>
    </w:p>
    <w:p>
      <w:pPr>
        <w:pStyle w:val="Normal"/>
      </w:pPr>
      <w:r>
        <w:t xml:space="preserve">P1 yoki P2 darajadagi hodisa yopilgandan keyin 10 ish kuni ichida javob berish jamoasi va rahbariyat ishtirokida post-mortem tahlili oʻtkaziladi. Natijalar hujjat shaklida rasmiylashtiriladi va quyidagilarni oʻz ichiga olishi kerak:</w:t>
      </w:r>
    </w:p>
    <w:p>
      <w:pPr>
        <w:pStyle w:val="Normal"/>
        <w:ind w:left="360" w:hanging="180"/>
      </w:pPr>
      <w:r>
        <w:t xml:space="preserve">• hodisa xronologiyasi;</w:t>
      </w:r>
    </w:p>
    <w:p>
      <w:pPr>
        <w:pStyle w:val="Normal"/>
        <w:ind w:left="360" w:hanging="180"/>
      </w:pPr>
      <w:r>
        <w:t xml:space="preserve">• hodisaning birlamchi sababi;</w:t>
      </w:r>
    </w:p>
    <w:p>
      <w:pPr>
        <w:pStyle w:val="Normal"/>
        <w:ind w:left="360" w:hanging="180"/>
      </w:pPr>
      <w:r>
        <w:t xml:space="preserve">• javob berishning samaradorligini baholash;</w:t>
      </w:r>
    </w:p>
    <w:p>
      <w:pPr>
        <w:pStyle w:val="Normal"/>
        <w:ind w:left="360" w:hanging="180"/>
      </w:pPr>
      <w:r>
        <w:t xml:space="preserve">• himoyada va Rejada aniqlangan boʻshliqlar;</w:t>
      </w:r>
    </w:p>
    <w:p>
      <w:pPr>
        <w:pStyle w:val="Normal"/>
        <w:ind w:left="360" w:hanging="180"/>
      </w:pPr>
      <w:r>
        <w:t xml:space="preserve">• takrorlanishini oldini olish boʻyicha aniq choralar, mas'ul shaxslar va muddatlar;</w:t>
      </w:r>
    </w:p>
    <w:p>
      <w:pPr>
        <w:pStyle w:val="Normal"/>
        <w:ind w:left="360" w:hanging="180"/>
      </w:pPr>
      <w:r>
        <w:t xml:space="preserve">• Reja va bogʻliq siyosatlarni yangilash.</w:t>
      </w:r>
    </w:p>
    <w:p>
      <w:pPr>
        <w:pStyle w:val="Heading1"/>
      </w:pPr>
      <w:r>
        <w:t xml:space="preserve">8\. Tashqi tomonlarni xabardor qilish</w:t>
      </w:r>
    </w:p>
    <w:p>
      <w:pPr>
        <w:pStyle w:val="Heading2"/>
      </w:pPr>
      <w:r>
        <w:t xml:space="preserve">8.1. Toʻlov provayderini xabardor qilish</w:t>
      </w:r>
    </w:p>
    <w:p>
      <w:pPr>
        <w:pStyle w:val="Normal"/>
      </w:pPr>
      <w:r>
        <w:t xml:space="preserve">Toʻlov kartalari maʼlumotlarining mumkin boʻlgan buzilishi bilan bogʻliq P1 darajadagi hodisalar yoki toʻlov operatsiyalariga taʼsir qiluvchi hodisalar aniqlanganda Kompaniya toʻlov provayderini (FreedomPay) hodisa tasdiqlangandan keyin 24 soat ichida xabardor qiladi. Xabarnoma toʻlov provayderi bilan tuzilgan shartnomada kelishilgan rasmiy kanallar orqali yuboriladi va quyidagilarni oʻz ichiga olishi kerak:</w:t>
      </w:r>
    </w:p>
    <w:p>
      <w:pPr>
        <w:pStyle w:val="Normal"/>
        <w:ind w:left="360" w:hanging="180"/>
      </w:pPr>
      <w:r>
        <w:t xml:space="preserve">• hodisaning sanasi va vaqti;</w:t>
      </w:r>
    </w:p>
    <w:p>
      <w:pPr>
        <w:pStyle w:val="Normal"/>
        <w:ind w:left="360" w:hanging="180"/>
      </w:pPr>
      <w:r>
        <w:t xml:space="preserve">• hodisa va uning mumkin boʻlgan taʼsiri tavsifi;</w:t>
      </w:r>
    </w:p>
    <w:p>
      <w:pPr>
        <w:pStyle w:val="Normal"/>
        <w:ind w:left="360" w:hanging="180"/>
      </w:pPr>
      <w:r>
        <w:t xml:space="preserve">• qabul qilingan mahalliylashtirish va bartaraf etish choralari;</w:t>
      </w:r>
    </w:p>
    <w:p>
      <w:pPr>
        <w:pStyle w:val="Normal"/>
        <w:ind w:left="360" w:hanging="180"/>
      </w:pPr>
      <w:r>
        <w:t xml:space="preserve">• bartaraf etish va tiklashning rejalashtirilgan muddatlari;</w:t>
      </w:r>
    </w:p>
    <w:p>
      <w:pPr>
        <w:pStyle w:val="Normal"/>
        <w:ind w:left="360" w:hanging="180"/>
      </w:pPr>
      <w:r>
        <w:t xml:space="preserve">• Kompaniya tomonidagi aloqa shaxsi.</w:t>
      </w:r>
    </w:p>
    <w:p>
      <w:pPr>
        <w:pStyle w:val="Heading2"/>
      </w:pPr>
      <w:r>
        <w:t xml:space="preserve">8.2. Toʻlov tizimlarini xabardor qilish</w:t>
      </w:r>
    </w:p>
    <w:p>
      <w:pPr>
        <w:pStyle w:val="Normal"/>
      </w:pPr>
      <w:r>
        <w:t xml:space="preserve">Toʻlov kartalari maʼlumotlarining buzilishi tasdiqlanganda Kompaniya zarar koʻrgan operatsiyalar oʻtgan toʻlov provayderiga (FreedomPay, Click yoki Payme) va milliy toʻlov tizimi operatorlariga — Uzcard va Humoga — ushbu toʻlov tizimlari qoidalarida belgilangan tartibda va muddatlarda xabarnoma yuboradi. Kompaniya toʻlovni FreedomPay orqali Uzcard va Humo kartalari bilan, shuningdek Click va Payme toʻlov xizmatlari orqali qabul qiladi.</w:t>
      </w:r>
    </w:p>
    <w:p>
      <w:pPr>
        <w:pStyle w:val="Heading2"/>
      </w:pPr>
      <w:r>
        <w:t xml:space="preserve">8.3. Regulyatorlarni xabardor qilish</w:t>
      </w:r>
    </w:p>
    <w:p>
      <w:pPr>
        <w:pStyle w:val="Normal"/>
      </w:pPr>
      <w:r>
        <w:t xml:space="preserve">Foydalanuvchilarning shaxsiy maʼlumotlari sizib chiqqanda Kompaniya Oʻzbekiston Respublikasining shaxsiy maʼlumotlar boʻyicha vakolatli davlat organini «Shaxsiy maʼlumotlar toʻgʻrisida»gi OʻRQ-547-son qonun bilan belgilangan tartibda va muddatlarda xabardor qiladi.</w:t>
      </w:r>
    </w:p>
    <w:p>
      <w:pPr>
        <w:pStyle w:val="Heading2"/>
      </w:pPr>
      <w:r>
        <w:t xml:space="preserve">8.4. Taʼsirlangan foydalanuvchilarni xabardor qilish</w:t>
      </w:r>
    </w:p>
    <w:p>
      <w:pPr>
        <w:pStyle w:val="Normal"/>
      </w:pPr>
      <w:r>
        <w:t xml:space="preserve">SafeLaw xizmati foydalanuvchilariga taʼsir koʻrsatadigan shaxsiy maʼlumotlar sizib chiqqanda Kompaniya taʼsirlangan foydalanuvchilarga sizish tasdiqlangandan keyin 72 soatdan kechiktirmasdan xabarnoma yuboradi. Xabarnoma quyidagilarni oʻz ichiga olishi kerak:</w:t>
      </w:r>
    </w:p>
    <w:p>
      <w:pPr>
        <w:pStyle w:val="Normal"/>
        <w:ind w:left="360" w:hanging="180"/>
      </w:pPr>
      <w:r>
        <w:t xml:space="preserve">• sizishning xususiyati tavsifi;</w:t>
      </w:r>
    </w:p>
    <w:p>
      <w:pPr>
        <w:pStyle w:val="Normal"/>
        <w:ind w:left="360" w:hanging="180"/>
      </w:pPr>
      <w:r>
        <w:t xml:space="preserve">• taʼsirlangan maʼlumotlarning toifalari va taxminiy hajmi;</w:t>
      </w:r>
    </w:p>
    <w:p>
      <w:pPr>
        <w:pStyle w:val="Normal"/>
        <w:ind w:left="360" w:hanging="180"/>
      </w:pPr>
      <w:r>
        <w:t xml:space="preserve">• foydalanuvchi uchun ehtimoliy oqibatlar;</w:t>
      </w:r>
    </w:p>
    <w:p>
      <w:pPr>
        <w:pStyle w:val="Normal"/>
        <w:ind w:left="360" w:hanging="180"/>
      </w:pPr>
      <w:r>
        <w:t xml:space="preserve">• Kompaniya tomonidan sizishni bartaraf etish uchun qabul qilingan choralar;</w:t>
      </w:r>
    </w:p>
    <w:p>
      <w:pPr>
        <w:pStyle w:val="Normal"/>
        <w:ind w:left="360" w:hanging="180"/>
      </w:pPr>
      <w:r>
        <w:t xml:space="preserve">• foydalanuvchiga hisob qaydnomasini himoya qilish boʻyicha tavsiyalar;</w:t>
      </w:r>
    </w:p>
    <w:p>
      <w:pPr>
        <w:pStyle w:val="Normal"/>
        <w:ind w:left="360" w:hanging="180"/>
      </w:pPr>
      <w:r>
        <w:t xml:space="preserve">• murojaatlar uchun aloqa maʼlumotlari (security@safelaw.ai).</w:t>
      </w:r>
    </w:p>
    <w:p>
      <w:pPr>
        <w:pStyle w:val="Heading2"/>
      </w:pPr>
      <w:r>
        <w:t xml:space="preserve">8.5. Xizmat koʻrsatuvchilarni xabardor qilish</w:t>
      </w:r>
    </w:p>
    <w:p>
      <w:pPr>
        <w:pStyle w:val="Normal"/>
      </w:pPr>
      <w:r>
        <w:t xml:space="preserve">Xizmat koʻrsatuvchilarning (Netcup, Google Workspace, AI provayderlar va boshqalar) infratuzilmasiga taʼsir qiluvchi yoki taʼsir qilishi mumkin boʻlgan hodisalarda Kompaniya tegishli xizmat koʻrsatuvchilarni ular tomonidan belgilangan muddatlarda xabardor qiladi. Xabarnomalarni xizmat koʻrsatuvchilar bilan ishlash boʻyicha mas'ul shaxs yuboradi.</w:t>
      </w:r>
    </w:p>
    <w:p>
      <w:pPr>
        <w:pStyle w:val="Heading1"/>
      </w:pPr>
      <w:r>
        <w:t xml:space="preserve">9\. Hodisalar jurnali</w:t>
      </w:r>
    </w:p>
    <w:p>
      <w:pPr>
        <w:pStyle w:val="Normal"/>
      </w:pPr>
      <w:r>
        <w:t xml:space="preserve">Barcha axborot xavfsizligi hodisalari va insidentlari hodisalar jurnalida qayd etiladi. Har bir hodisa boʻyicha quyidagi maʼlumotlar qayd etiladi:</w:t>
      </w:r>
    </w:p>
    <w:p>
      <w:pPr>
        <w:pStyle w:val="Normal"/>
        <w:ind w:left="360" w:hanging="180"/>
      </w:pPr>
      <w:r>
        <w:t xml:space="preserve">• hodisaning noyob identifikatori;</w:t>
      </w:r>
    </w:p>
    <w:p>
      <w:pPr>
        <w:pStyle w:val="Normal"/>
        <w:ind w:left="360" w:hanging="180"/>
      </w:pPr>
      <w:r>
        <w:t xml:space="preserve">• aniqlash sanasi va vaqti, hodisaning boshlanish sanasi va vaqti (agar maʼlum boʻlsa);</w:t>
      </w:r>
    </w:p>
    <w:p>
      <w:pPr>
        <w:pStyle w:val="Normal"/>
        <w:ind w:left="360" w:hanging="180"/>
      </w:pPr>
      <w:r>
        <w:t xml:space="preserve">• aniqlash manbai;</w:t>
      </w:r>
    </w:p>
    <w:p>
      <w:pPr>
        <w:pStyle w:val="Normal"/>
        <w:ind w:left="360" w:hanging="180"/>
      </w:pPr>
      <w:r>
        <w:t xml:space="preserve">• kritiklik darajasi;</w:t>
      </w:r>
    </w:p>
    <w:p>
      <w:pPr>
        <w:pStyle w:val="Normal"/>
        <w:ind w:left="360" w:hanging="180"/>
      </w:pPr>
      <w:r>
        <w:t xml:space="preserve">• hodisa tavsifi;</w:t>
      </w:r>
    </w:p>
    <w:p>
      <w:pPr>
        <w:pStyle w:val="Normal"/>
        <w:ind w:left="360" w:hanging="180"/>
      </w:pPr>
      <w:r>
        <w:t xml:space="preserve">• taʼsirlangan tizimlar, maʼlumotlar, foydalanuvchilar;</w:t>
      </w:r>
    </w:p>
    <w:p>
      <w:pPr>
        <w:pStyle w:val="Normal"/>
        <w:ind w:left="360" w:hanging="180"/>
      </w:pPr>
      <w:r>
        <w:t xml:space="preserve">• sanalar, vaqtlar va mas'ul shaxslar koʻrsatilgan qabul qilingan harakatlar;</w:t>
      </w:r>
    </w:p>
    <w:p>
      <w:pPr>
        <w:pStyle w:val="Normal"/>
        <w:ind w:left="360" w:hanging="180"/>
      </w:pPr>
      <w:r>
        <w:t xml:space="preserve">• xabardor qilingan tashqi tomonlar (xabardorlik sanasi va kanali bilan);</w:t>
      </w:r>
    </w:p>
    <w:p>
      <w:pPr>
        <w:pStyle w:val="Normal"/>
        <w:ind w:left="360" w:hanging="180"/>
      </w:pPr>
      <w:r>
        <w:t xml:space="preserve">• post-mortem tahlili natijalari va takrorlanishini oldini olish boʻyicha qabul qilingan choralar;</w:t>
      </w:r>
    </w:p>
    <w:p>
      <w:pPr>
        <w:pStyle w:val="Normal"/>
        <w:ind w:left="360" w:hanging="180"/>
      </w:pPr>
      <w:r>
        <w:t xml:space="preserve">• hodisani yopish sanasi.</w:t>
      </w:r>
    </w:p>
    <w:p>
      <w:pPr>
        <w:pStyle w:val="Normal"/>
      </w:pPr>
      <w:r>
        <w:t xml:space="preserve">Hodisalar jurnali hodisa yopilgan paytdan kamida 3 yil saqlanadi.</w:t>
      </w:r>
    </w:p>
    <w:p>
      <w:pPr>
        <w:pStyle w:val="Heading1"/>
      </w:pPr>
      <w:r>
        <w:t xml:space="preserve">10\. Rejani sinab koʻrish</w:t>
      </w:r>
    </w:p>
    <w:p>
      <w:pPr>
        <w:pStyle w:val="Normal"/>
      </w:pPr>
      <w:r>
        <w:t xml:space="preserve">Javob berish rejasi kamida 12 oyda bir marta sinab koʻriladi. Sinash shakllari:</w:t>
      </w:r>
    </w:p>
    <w:p>
      <w:pPr>
        <w:pStyle w:val="Normal"/>
        <w:ind w:left="360" w:hanging="180"/>
      </w:pPr>
      <w:r>
        <w:t xml:space="preserve">• stol mashqlari (tabletop exercises) — jamoaning gipotetik stsenariylar boʻyicha harakatlarini muhokama qilish;</w:t>
      </w:r>
    </w:p>
    <w:p>
      <w:pPr>
        <w:pStyle w:val="Normal"/>
        <w:ind w:left="360" w:hanging="180"/>
      </w:pPr>
      <w:r>
        <w:t xml:space="preserve">• oʻquv signallari — jamoa aʼzolarining xabardorlik kanallari orqali mavjudligini tekshirish;</w:t>
      </w:r>
    </w:p>
    <w:p>
      <w:pPr>
        <w:pStyle w:val="Normal"/>
        <w:ind w:left="360" w:hanging="180"/>
      </w:pPr>
      <w:r>
        <w:t xml:space="preserve">• toʻliq simulyatsiyalangan hodisaga javob berish.</w:t>
      </w:r>
    </w:p>
    <w:p>
      <w:pPr>
        <w:pStyle w:val="Normal"/>
      </w:pPr>
      <w:r>
        <w:t xml:space="preserve">Sinash natijalari boʻyicha protokol tuziladi, aniqlangan kamchiliklar bartaraf etiladi, Reja zarur boʻlganda yangilanadi.</w:t>
      </w:r>
    </w:p>
    <w:p>
      <w:pPr>
        <w:pStyle w:val="Heading1"/>
      </w:pPr>
      <w:r>
        <w:t xml:space="preserve">11\. Oʻqitish</w:t>
      </w:r>
    </w:p>
    <w:p>
      <w:pPr>
        <w:pStyle w:val="Normal"/>
      </w:pPr>
      <w:r>
        <w:t xml:space="preserve">Javob berish jamoasi aʼzolari ushbu Rejaga muvofiq harakatlar boʻyicha kamida 12 oyda bir marta oʻqitiladi. Kompaniyaning barcha xodimlari ishga qabul qilinganda va keyinchalik har yili shubhali faollik va hodisalar haqida xabar berish tartibi boʻyicha instruktajdan oʻtadilar.</w:t>
      </w:r>
    </w:p>
    <w:p>
      <w:pPr>
        <w:pStyle w:val="Heading1"/>
      </w:pPr>
      <w:r>
        <w:t xml:space="preserve">12\. Rejani qayta koʻrib chiqish</w:t>
      </w:r>
    </w:p>
    <w:p>
      <w:pPr>
        <w:pStyle w:val="Normal"/>
      </w:pPr>
      <w:r>
        <w:t xml:space="preserve">Ushbu Reja kamida 12 oyda bir marta, shuningdek:</w:t>
      </w:r>
    </w:p>
    <w:p>
      <w:pPr>
        <w:pStyle w:val="Normal"/>
        <w:ind w:left="360" w:hanging="180"/>
      </w:pPr>
      <w:r>
        <w:t xml:space="preserve">• har bir P1 yoki P2 darajadagi hodisadan keyin;</w:t>
      </w:r>
    </w:p>
    <w:p>
      <w:pPr>
        <w:pStyle w:val="Normal"/>
        <w:ind w:left="360" w:hanging="180"/>
      </w:pPr>
      <w:r>
        <w:t xml:space="preserve">• Kompaniyaning axborot infratuzilmasidagi sezilarli oʻzgarishlarda;</w:t>
      </w:r>
    </w:p>
    <w:p>
      <w:pPr>
        <w:pStyle w:val="Normal"/>
        <w:ind w:left="360" w:hanging="180"/>
      </w:pPr>
      <w:r>
        <w:t xml:space="preserve">• asosiy xizmat koʻrsatuvchilarning (TPSP) tarkibidagi oʻzgarishlarda;</w:t>
      </w:r>
    </w:p>
    <w:p>
      <w:pPr>
        <w:pStyle w:val="Normal"/>
        <w:ind w:left="360" w:hanging="180"/>
      </w:pPr>
      <w:r>
        <w:t xml:space="preserve">• meʼyoriy talablar yoki standartlardagi (PCI DSS, OʻzR qonunchiligi) oʻzgarishlarda qayta koʻrib chiqiladi.</w:t>
      </w:r>
    </w:p>
    <w:p>
      <w:pPr>
        <w:pStyle w:val="Heading1"/>
      </w:pPr>
      <w:r>
        <w:t xml:space="preserve">13\. Hujjat haqida maʼlumot</w:t>
      </w:r>
    </w:p>
    <w:p>
      <w:pPr>
        <w:pStyle w:val="Normal"/>
      </w:pPr>
      <w:r>
        <w:rPr>
          <w:b/>
        </w:rPr>
        <w:t xml:space="preserve">Versiya</w:t>
      </w:r>
    </w:p>
    <w:p>
      <w:pPr>
        <w:pStyle w:val="Normal"/>
      </w:pPr>
      <w:r>
        <w:rPr>
          <w:b/>
        </w:rPr>
        <w:t xml:space="preserve">Sana</w:t>
      </w:r>
    </w:p>
    <w:p>
      <w:pPr>
        <w:pStyle w:val="Normal"/>
      </w:pPr>
      <w:r>
        <w:rPr>
          <w:b/>
        </w:rPr>
        <w:t xml:space="preserve">Oʻzgarishlar</w:t>
      </w:r>
    </w:p>
    <w:p>
      <w:pPr>
        <w:pStyle w:val="Normal"/>
      </w:pPr>
      <w:r>
        <w:rPr>
          <w:b/>
        </w:rPr>
        <w:t xml:space="preserve">Tasdiqlagan</w:t>
      </w:r>
    </w:p>
    <w:p>
      <w:pPr>
        <w:pStyle w:val="Normal"/>
      </w:pPr>
      <w:r>
        <w:t xml:space="preserve">1.0</w:t>
      </w:r>
    </w:p>
    <w:p>
      <w:pPr>
        <w:pStyle w:val="Normal"/>
      </w:pPr>
      <w:r>
        <w:t xml:space="preserve">15.05.2026</w:t>
      </w:r>
    </w:p>
    <w:p>
      <w:pPr>
        <w:pStyle w:val="Normal"/>
      </w:pPr>
      <w:r>
        <w:t xml:space="preserve">Hujjatning birinchi tasdigʻi</w:t>
      </w:r>
    </w:p>
    <w:p>
      <w:pPr>
        <w:pStyle w:val="Normal"/>
      </w:pPr>
      <w:r>
        <w:t xml:space="preserve">Jamiyat direktori</w:t>
      </w:r>
    </w:p>
    <w:p>
      <w:pPr>
        <w:pStyle w:val="Normal"/>
      </w:pPr>
      <w:r>
        <w:t xml:space="preserve">1.1</w:t>
      </w:r>
    </w:p>
    <w:p>
      <w:pPr>
        <w:pStyle w:val="Normal"/>
      </w:pPr>
      <w:r>
        <w:t xml:space="preserve">22.09.2026</w:t>
      </w:r>
    </w:p>
    <w:p>
      <w:pPr>
        <w:pStyle w:val="Normal"/>
      </w:pPr>
      <w:r>
        <w:t xml:space="preserve">Rejali qayta koʻrib chiqish: javob berish jamoasi rollari tarkibi; xabar beruvchi va xabardor qilinuvchi tomonlarni ajratish; aloqa maʼlumotlari; Jamiyat rekvizitlari</w:t>
      </w:r>
    </w:p>
    <w:p>
      <w:pPr>
        <w:pStyle w:val="Normal"/>
      </w:pPr>
      <w:r>
        <w:t xml:space="preserve">Jamiyat direktori</w:t>
      </w:r>
    </w:p>
    <w:p>
      <w:pPr>
        <w:pStyle w:val="Normal"/>
      </w:pPr>
      <w:r>
        <w:t xml:space="preserve">1.2</w:t>
      </w:r>
    </w:p>
    <w:p>
      <w:pPr>
        <w:pStyle w:val="Normal"/>
      </w:pPr>
      <w:r>
        <w:t xml:space="preserve">30.10.2026</w:t>
      </w:r>
    </w:p>
    <w:p>
      <w:pPr>
        <w:pStyle w:val="Normal"/>
      </w:pPr>
      <w:r>
        <w:t xml:space="preserve">Rejadan tashqari qayta koʻrib chiqish: Click va Payme toʻlov provayderlari; hodisalar haqida xabar berish uchun security@safelaw.ai manzili; himoya choralari roʻyxati yangilandi</w:t>
      </w:r>
    </w:p>
    <w:p>
      <w:pPr>
        <w:pStyle w:val="Normal"/>
      </w:pPr>
      <w:r>
        <w:t xml:space="preserve">Jamiyat direktori</w:t>
      </w:r>
    </w:p>
    <w:p>
      <w:pPr>
        <w:pStyle w:val="Heading2"/>
      </w:pPr>
      <w:r>
        <w:t xml:space="preserve">Hujjatni tasdiqlash</w:t>
      </w:r>
    </w:p>
    <w:p>
      <w:pPr>
        <w:pStyle w:val="Normal"/>
      </w:pPr>
      <w:r>
        <w:t xml:space="preserve">Hujjat Jamiyat direktori tomonidan tasdiqlangan va 2026-yil 15-maydan kuchga kiritilgan. Jamiyatning axborot resurslariga kirish huquqiga ega boʻlgan barcha xodimlar, pudratchilar va boshqa shaxslar uchun hujjat bilan tanishish majburiy hisoblanadi.</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