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rPr>
          <w:b/>
        </w:rPr>
        <w:t xml:space="preserve">ООО «SELLAI»</w:t>
      </w:r>
    </w:p>
    <w:p>
      <w:pPr>
        <w:pStyle w:val="Normal"/>
      </w:pPr>
      <w:r>
        <w:t xml:space="preserve">Сервис SafeLaw (safelaw.ai)</w:t>
      </w:r>
    </w:p>
    <w:p>
      <w:pPr>
        <w:pStyle w:val="Normal"/>
      </w:pPr>
      <w:r>
        <w:t xml:space="preserve">ИНН: 312530703</w:t>
      </w:r>
    </w:p>
    <w:p>
      <w:pPr>
        <w:pStyle w:val="Normal"/>
      </w:pPr>
      <w:r>
        <w:t xml:space="preserve">Адрес: Республика Узбекистан, Республика Каракалпакстан, г. Нукус, ул. А. С. Пушкина, 91/7</w:t>
      </w:r>
    </w:p>
    <w:p>
      <w:pPr>
        <w:pStyle w:val="Normal"/>
      </w:pPr>
      <w:r>
        <w:t xml:space="preserve">Электронная почта: info@safelaw.ai. Телефон: +998 90 590 59 00</w:t>
      </w:r>
    </w:p>
    <w:p>
      <w:pPr>
        <w:pStyle w:val="Normal"/>
      </w:pPr>
      <w:r>
        <w:rPr>
          <w:b/>
        </w:rPr>
        <w:t xml:space="preserve">ПОЛИТИКА УПРАВЛЕНИЯ ПОСТАВЩИКАМИ УСЛУГ</w:t>
      </w:r>
    </w:p>
    <w:p>
      <w:pPr>
        <w:pStyle w:val="Normal"/>
      </w:pPr>
      <w:r>
        <w:t xml:space="preserve">Документ TPSP-01</w:t>
      </w:r>
    </w:p>
    <w:p>
      <w:pPr>
        <w:pStyle w:val="Normal"/>
      </w:pPr>
      <w:r>
        <w:t xml:space="preserve">Версия 1.2</w:t>
      </w:r>
    </w:p>
    <w:p>
      <w:pPr>
        <w:pStyle w:val="Normal"/>
      </w:pPr>
      <w:r>
        <w:t xml:space="preserve">Дата ввода в действие: 15 мая 2026 г.</w:t>
      </w:r>
    </w:p>
    <w:p>
      <w:pPr>
        <w:pStyle w:val="Normal"/>
      </w:pPr>
      <w:r>
        <w:t xml:space="preserve">Дата последнего пересмотра: 30 октября 2026 г.</w:t>
      </w:r>
    </w:p>
    <w:p>
      <w:pPr>
        <w:pStyle w:val="Normal"/>
      </w:pPr>
      <w:r>
        <w:t xml:space="preserve">_Соответствие: PCI DSS v4.0.1, SAQ A_</w:t>
      </w:r>
    </w:p>
    <w:p>
      <w:pPr>
        <w:pStyle w:val="Heading1"/>
      </w:pPr>
      <w:r>
        <w:t xml:space="preserve">1\. Назначение</w:t>
      </w:r>
    </w:p>
    <w:p>
      <w:pPr>
        <w:pStyle w:val="Normal"/>
      </w:pPr>
      <w:r>
        <w:t xml:space="preserve">Настоящая Политика управления поставщиками услуг (далее — Политика) устанавливает порядок выбора, оценки, заключения договоров, мониторинга и прекращения отношений ООО «SELLAI» (далее — Компания) с третьими сторонами, оказывающими услуги, которые могут повлиять на безопасность данных пользователей, в том числе данных платёжных карт, обрабатываемых в рамках сервиса SafeLaw (safelaw.ai). Политика разработана в соответствии с Требованием 12.8 стандарта PCI DSS v4.0.1.</w:t>
      </w:r>
    </w:p>
    <w:p>
      <w:pPr>
        <w:pStyle w:val="Heading1"/>
      </w:pPr>
      <w:r>
        <w:t xml:space="preserve">2\. Область применения</w:t>
      </w:r>
    </w:p>
    <w:p>
      <w:pPr>
        <w:pStyle w:val="Normal"/>
      </w:pPr>
      <w:r>
        <w:t xml:space="preserve">Действие Политики распространяется на всех поставщиков услуг (Third-Party Service Providers, далее — TPSP), которые:</w:t>
      </w:r>
    </w:p>
    <w:p>
      <w:pPr>
        <w:pStyle w:val="Normal"/>
        <w:ind w:left="360" w:hanging="180"/>
      </w:pPr>
      <w:r>
        <w:t xml:space="preserve">• имеют доступ к данным платёжных карт пользователей или могут повлиять на безопасность среды обработки таких данных (CDE);</w:t>
      </w:r>
    </w:p>
    <w:p>
      <w:pPr>
        <w:pStyle w:val="Normal"/>
        <w:ind w:left="360" w:hanging="180"/>
      </w:pPr>
      <w:r>
        <w:t xml:space="preserve">• обрабатывают, хранят или передают персональные данные пользователей Компании;</w:t>
      </w:r>
    </w:p>
    <w:p>
      <w:pPr>
        <w:pStyle w:val="Normal"/>
        <w:ind w:left="360" w:hanging="180"/>
      </w:pPr>
      <w:r>
        <w:t xml:space="preserve">• предоставляют инфраструктурные услуги, обеспечивающие работу публичных сервисов Компании;</w:t>
      </w:r>
    </w:p>
    <w:p>
      <w:pPr>
        <w:pStyle w:val="Normal"/>
        <w:ind w:left="360" w:hanging="180"/>
      </w:pPr>
      <w:r>
        <w:t xml:space="preserve">• осуществляют поддержку или администрирование информационных систем Компании.</w:t>
      </w:r>
    </w:p>
    <w:p>
      <w:pPr>
        <w:pStyle w:val="Heading1"/>
      </w:pPr>
      <w:r>
        <w:t xml:space="preserve">3\. Определения</w:t>
      </w:r>
    </w:p>
    <w:p>
      <w:pPr>
        <w:pStyle w:val="Normal"/>
      </w:pPr>
      <w:r>
        <w:rPr>
          <w:b/>
        </w:rPr>
        <w:t xml:space="preserve">Поставщик услуг (TPSP)</w:t>
      </w:r>
      <w:r>
        <w:t xml:space="preserve"> — юридическое или физическое лицо, не являющееся работником Компании, оказывающее услуги, перечисленные в разделе 2 настоящей Политики.</w:t>
      </w:r>
    </w:p>
    <w:p>
      <w:pPr>
        <w:pStyle w:val="Normal"/>
      </w:pPr>
      <w:r>
        <w:rPr>
          <w:b/>
        </w:rPr>
        <w:t xml:space="preserve">Должная осмотрительность (Due Diligence)</w:t>
      </w:r>
      <w:r>
        <w:t xml:space="preserve"> — процесс предварительной оценки потенциального поставщика услуг на предмет его способности обеспечить безопасность данных, переданных ему Компанией.</w:t>
      </w:r>
    </w:p>
    <w:p>
      <w:pPr>
        <w:pStyle w:val="Normal"/>
      </w:pPr>
      <w:r>
        <w:rPr>
          <w:b/>
        </w:rPr>
        <w:t xml:space="preserve">Attestation of Compliance (AoC)</w:t>
      </w:r>
      <w:r>
        <w:t xml:space="preserve"> — документ, подтверждающий соответствие поставщика услуг требованиям PCI DSS.</w:t>
      </w:r>
    </w:p>
    <w:p>
      <w:pPr>
        <w:pStyle w:val="Normal"/>
      </w:pPr>
      <w:r>
        <w:rPr>
          <w:b/>
        </w:rPr>
        <w:t xml:space="preserve">DPA (Data Processing Agreement)</w:t>
      </w:r>
      <w:r>
        <w:t xml:space="preserve"> — соглашение об обработке персональных данных между Компанией (контролёр) и поставщиком услуг (обработчик).</w:t>
      </w:r>
    </w:p>
    <w:p>
      <w:pPr>
        <w:pStyle w:val="Heading1"/>
      </w:pPr>
      <w:r>
        <w:t xml:space="preserve">4\. Реестр поставщиков услуг</w:t>
      </w:r>
    </w:p>
    <w:p>
      <w:pPr>
        <w:pStyle w:val="Normal"/>
      </w:pPr>
      <w:r>
        <w:t xml:space="preserve">Компания ведёт актуальный реестр всех поставщиков услуг, подпадающих под действие настоящей Политики. По каждому поставщику в реестре фиксируются:</w:t>
      </w:r>
    </w:p>
    <w:p>
      <w:pPr>
        <w:pStyle w:val="Normal"/>
        <w:ind w:left="360" w:hanging="180"/>
      </w:pPr>
      <w:r>
        <w:t xml:space="preserve">• наименование, страна регистрации, контактные данные;</w:t>
      </w:r>
    </w:p>
    <w:p>
      <w:pPr>
        <w:pStyle w:val="Normal"/>
        <w:ind w:left="360" w:hanging="180"/>
      </w:pPr>
      <w:r>
        <w:t xml:space="preserve">• вид и описание оказываемых услуг;</w:t>
      </w:r>
    </w:p>
    <w:p>
      <w:pPr>
        <w:pStyle w:val="Normal"/>
        <w:ind w:left="360" w:hanging="180"/>
      </w:pPr>
      <w:r>
        <w:t xml:space="preserve">• категория услуг с точки зрения PCI DSS (платёжный сервис, инфраструктура, хостинг, AI, прочее);</w:t>
      </w:r>
    </w:p>
    <w:p>
      <w:pPr>
        <w:pStyle w:val="Normal"/>
        <w:ind w:left="360" w:hanging="180"/>
      </w:pPr>
      <w:r>
        <w:t xml:space="preserve">• конкретные требования PCI DSS, исполняемые поставщиком от имени Компании;</w:t>
      </w:r>
    </w:p>
    <w:p>
      <w:pPr>
        <w:pStyle w:val="Normal"/>
        <w:ind w:left="360" w:hanging="180"/>
      </w:pPr>
      <w:r>
        <w:t xml:space="preserve">• дата заключения и срок действия договора;</w:t>
      </w:r>
    </w:p>
    <w:p>
      <w:pPr>
        <w:pStyle w:val="Normal"/>
        <w:ind w:left="360" w:hanging="180"/>
      </w:pPr>
      <w:r>
        <w:t xml:space="preserve">• наличие и срок действия Attestation of Compliance (для платёжных и инфраструктурных TPSP);</w:t>
      </w:r>
    </w:p>
    <w:p>
      <w:pPr>
        <w:pStyle w:val="Normal"/>
        <w:ind w:left="360" w:hanging="180"/>
      </w:pPr>
      <w:r>
        <w:t xml:space="preserve">• наличие DPA (для поставщиков, обрабатывающих персональные данные);</w:t>
      </w:r>
    </w:p>
    <w:p>
      <w:pPr>
        <w:pStyle w:val="Normal"/>
        <w:ind w:left="360" w:hanging="180"/>
      </w:pPr>
      <w:r>
        <w:t xml:space="preserve">• дата последней оценки соответствия;</w:t>
      </w:r>
    </w:p>
    <w:p>
      <w:pPr>
        <w:pStyle w:val="Normal"/>
        <w:ind w:left="360" w:hanging="180"/>
      </w:pPr>
      <w:r>
        <w:t xml:space="preserve">• ответственное лицо со стороны Компании за взаимодействие с поставщиком.</w:t>
      </w:r>
    </w:p>
    <w:p>
      <w:pPr>
        <w:pStyle w:val="Normal"/>
      </w:pPr>
      <w:r>
        <w:t xml:space="preserve">Реестр пересматривается не реже одного раза в 12 месяцев и обновляется при любых изменениях состава поставщиков.</w:t>
      </w:r>
    </w:p>
    <w:p>
      <w:pPr>
        <w:pStyle w:val="Heading2"/>
      </w:pPr>
      <w:r>
        <w:t xml:space="preserve">4.1. Действующий состав поставщиков услуг Компании</w:t>
      </w:r>
    </w:p>
    <w:p>
      <w:pPr>
        <w:pStyle w:val="Normal"/>
      </w:pPr>
      <w:r>
        <w:t xml:space="preserve">Состояние на 30 октября 2026 г.:</w:t>
      </w:r>
    </w:p>
    <w:p>
      <w:pPr>
        <w:pStyle w:val="Normal"/>
      </w:pPr>
      <w:r>
        <w:rPr>
          <w:b/>
        </w:rPr>
        <w:t xml:space="preserve">Поставщик</w:t>
      </w:r>
    </w:p>
    <w:p>
      <w:pPr>
        <w:pStyle w:val="Normal"/>
      </w:pPr>
      <w:r>
        <w:rPr>
          <w:b/>
        </w:rPr>
        <w:t xml:space="preserve">Юрисдикция</w:t>
      </w:r>
    </w:p>
    <w:p>
      <w:pPr>
        <w:pStyle w:val="Normal"/>
      </w:pPr>
      <w:r>
        <w:rPr>
          <w:b/>
        </w:rPr>
        <w:t xml:space="preserve">Услуга / роль</w:t>
      </w:r>
    </w:p>
    <w:p>
      <w:pPr>
        <w:pStyle w:val="Normal"/>
      </w:pPr>
      <w:r>
        <w:rPr>
          <w:b/>
        </w:rPr>
        <w:t xml:space="preserve">Категория PCI DSS</w:t>
      </w:r>
    </w:p>
    <w:p>
      <w:pPr>
        <w:pStyle w:val="Normal"/>
      </w:pPr>
      <w:r>
        <w:t xml:space="preserve">FreedomPay</w:t>
      </w:r>
    </w:p>
    <w:p>
      <w:pPr>
        <w:pStyle w:val="Normal"/>
      </w:pPr>
      <w:r>
        <w:t xml:space="preserve">Узбекистан</w:t>
      </w:r>
    </w:p>
    <w:p>
      <w:pPr>
        <w:pStyle w:val="Normal"/>
      </w:pPr>
      <w:r>
        <w:t xml:space="preserve">Приём платежей по картам Uzcard и Humo; ввод платёжных реквизитов происходит на стороне провайдера</w:t>
      </w:r>
    </w:p>
    <w:p>
      <w:pPr>
        <w:pStyle w:val="Normal"/>
      </w:pPr>
      <w:r>
        <w:t xml:space="preserve">Платёжный сервис</w:t>
      </w:r>
    </w:p>
    <w:p>
      <w:pPr>
        <w:pStyle w:val="Normal"/>
      </w:pPr>
      <w:r>
        <w:t xml:space="preserve">Click</w:t>
      </w:r>
    </w:p>
    <w:p>
      <w:pPr>
        <w:pStyle w:val="Normal"/>
      </w:pPr>
      <w:r>
        <w:t xml:space="preserve">Узбекистан</w:t>
      </w:r>
    </w:p>
    <w:p>
      <w:pPr>
        <w:pStyle w:val="Normal"/>
      </w:pPr>
      <w:r>
        <w:t xml:space="preserve">Приём платежей через платёжный сервис Click; оплата происходит на странице провайдера</w:t>
      </w:r>
    </w:p>
    <w:p>
      <w:pPr>
        <w:pStyle w:val="Normal"/>
      </w:pPr>
      <w:r>
        <w:t xml:space="preserve">Платёжный сервис</w:t>
      </w:r>
    </w:p>
    <w:p>
      <w:pPr>
        <w:pStyle w:val="Normal"/>
      </w:pPr>
      <w:r>
        <w:t xml:space="preserve">Payme</w:t>
      </w:r>
    </w:p>
    <w:p>
      <w:pPr>
        <w:pStyle w:val="Normal"/>
      </w:pPr>
      <w:r>
        <w:t xml:space="preserve">Узбекистан</w:t>
      </w:r>
    </w:p>
    <w:p>
      <w:pPr>
        <w:pStyle w:val="Normal"/>
      </w:pPr>
      <w:r>
        <w:t xml:space="preserve">Приём платежей через платёжный сервис Payme; оплата происходит на странице провайдера</w:t>
      </w:r>
    </w:p>
    <w:p>
      <w:pPr>
        <w:pStyle w:val="Normal"/>
      </w:pPr>
      <w:r>
        <w:t xml:space="preserve">Платёжный сервис</w:t>
      </w:r>
    </w:p>
    <w:p>
      <w:pPr>
        <w:pStyle w:val="Normal"/>
      </w:pPr>
      <w:r>
        <w:t xml:space="preserve">Telegram FZ-LLC</w:t>
      </w:r>
    </w:p>
    <w:p>
      <w:pPr>
        <w:pStyle w:val="Normal"/>
      </w:pPr>
      <w:r>
        <w:t xml:space="preserve">ОАЭ</w:t>
      </w:r>
    </w:p>
    <w:p>
      <w:pPr>
        <w:pStyle w:val="Normal"/>
      </w:pPr>
      <w:r>
        <w:t xml:space="preserve">Канал поддержки пользователей (@safelaw\_support\_bot) и Telegram-версия сервиса SafeLaw (@safelawaibot)</w:t>
      </w:r>
    </w:p>
    <w:p>
      <w:pPr>
        <w:pStyle w:val="Normal"/>
      </w:pPr>
      <w:r>
        <w:t xml:space="preserve">Прочее / канал коммуникации</w:t>
      </w:r>
    </w:p>
    <w:p>
      <w:pPr>
        <w:pStyle w:val="Normal"/>
      </w:pPr>
      <w:r>
        <w:t xml:space="preserve">Netcup GmbH</w:t>
      </w:r>
    </w:p>
    <w:p>
      <w:pPr>
        <w:pStyle w:val="Normal"/>
      </w:pPr>
      <w:r>
        <w:t xml:space="preserve">Германия</w:t>
      </w:r>
    </w:p>
    <w:p>
      <w:pPr>
        <w:pStyle w:val="Normal"/>
      </w:pPr>
      <w:r>
        <w:t xml:space="preserve">Хостинг производственных серверов сервиса SafeLaw</w:t>
      </w:r>
    </w:p>
    <w:p>
      <w:pPr>
        <w:pStyle w:val="Normal"/>
      </w:pPr>
      <w:r>
        <w:t xml:space="preserve">Инфраструктура / хостинг</w:t>
      </w:r>
    </w:p>
    <w:p>
      <w:pPr>
        <w:pStyle w:val="Normal"/>
      </w:pPr>
      <w:r>
        <w:t xml:space="preserve">Google LLC</w:t>
      </w:r>
    </w:p>
    <w:p>
      <w:pPr>
        <w:pStyle w:val="Normal"/>
      </w:pPr>
      <w:r>
        <w:t xml:space="preserve">США</w:t>
      </w:r>
    </w:p>
    <w:p>
      <w:pPr>
        <w:pStyle w:val="Normal"/>
      </w:pPr>
      <w:r>
        <w:t xml:space="preserve">Корпоративная почта и совместная работа (Google Workspace)</w:t>
      </w:r>
    </w:p>
    <w:p>
      <w:pPr>
        <w:pStyle w:val="Normal"/>
      </w:pPr>
      <w:r>
        <w:t xml:space="preserve">Корпоративные сервисы</w:t>
      </w:r>
    </w:p>
    <w:p>
      <w:pPr>
        <w:pStyle w:val="Normal"/>
      </w:pPr>
      <w:r>
        <w:t xml:space="preserve">Anthropic PBC</w:t>
      </w:r>
    </w:p>
    <w:p>
      <w:pPr>
        <w:pStyle w:val="Normal"/>
      </w:pPr>
      <w:r>
        <w:t xml:space="preserve">США</w:t>
      </w:r>
    </w:p>
    <w:p>
      <w:pPr>
        <w:pStyle w:val="Normal"/>
      </w:pPr>
      <w:r>
        <w:t xml:space="preserve">AI-сервис: API моделей ИИ</w:t>
      </w:r>
    </w:p>
    <w:p>
      <w:pPr>
        <w:pStyle w:val="Normal"/>
      </w:pPr>
      <w:r>
        <w:t xml:space="preserve">AI-сервис</w:t>
      </w:r>
    </w:p>
    <w:p>
      <w:pPr>
        <w:pStyle w:val="Normal"/>
      </w:pPr>
      <w:r>
        <w:t xml:space="preserve">Voyage AI</w:t>
      </w:r>
    </w:p>
    <w:p>
      <w:pPr>
        <w:pStyle w:val="Normal"/>
      </w:pPr>
      <w:r>
        <w:t xml:space="preserve">США</w:t>
      </w:r>
    </w:p>
    <w:p>
      <w:pPr>
        <w:pStyle w:val="Normal"/>
      </w:pPr>
      <w:r>
        <w:t xml:space="preserve">AI-сервис ранжирования результатов поиска (Rerank API); получает текст запроса пользователя</w:t>
      </w:r>
    </w:p>
    <w:p>
      <w:pPr>
        <w:pStyle w:val="Normal"/>
      </w:pPr>
      <w:r>
        <w:t xml:space="preserve">AI-сервис</w:t>
      </w:r>
    </w:p>
    <w:p>
      <w:pPr>
        <w:pStyle w:val="Normal"/>
      </w:pPr>
      <w:r>
        <w:t xml:space="preserve">OpenAI, OpCo, LLC</w:t>
      </w:r>
    </w:p>
    <w:p>
      <w:pPr>
        <w:pStyle w:val="Normal"/>
      </w:pPr>
      <w:r>
        <w:t xml:space="preserve">США</w:t>
      </w:r>
    </w:p>
    <w:p>
      <w:pPr>
        <w:pStyle w:val="Normal"/>
      </w:pPr>
      <w:r>
        <w:t xml:space="preserve">AI-сервис: API моделей ИИ</w:t>
      </w:r>
    </w:p>
    <w:p>
      <w:pPr>
        <w:pStyle w:val="Normal"/>
      </w:pPr>
      <w:r>
        <w:t xml:space="preserve">AI-сервис</w:t>
      </w:r>
    </w:p>
    <w:p>
      <w:pPr>
        <w:pStyle w:val="Normal"/>
      </w:pPr>
      <w:r>
        <w:t xml:space="preserve">Namecheap, Inc.</w:t>
      </w:r>
    </w:p>
    <w:p>
      <w:pPr>
        <w:pStyle w:val="Normal"/>
      </w:pPr>
      <w:r>
        <w:t xml:space="preserve">США</w:t>
      </w:r>
    </w:p>
    <w:p>
      <w:pPr>
        <w:pStyle w:val="Normal"/>
      </w:pPr>
      <w:r>
        <w:t xml:space="preserve">Регистратор доменного имени safelaw.ai</w:t>
      </w:r>
    </w:p>
    <w:p>
      <w:pPr>
        <w:pStyle w:val="Normal"/>
      </w:pPr>
      <w:r>
        <w:t xml:space="preserve">Инфраструктура</w:t>
      </w:r>
    </w:p>
    <w:p>
      <w:pPr>
        <w:pStyle w:val="Normal"/>
      </w:pPr>
      <w:r>
        <w:t xml:space="preserve">Google LLC</w:t>
      </w:r>
    </w:p>
    <w:p>
      <w:pPr>
        <w:pStyle w:val="Normal"/>
      </w:pPr>
      <w:r>
        <w:t xml:space="preserve">США</w:t>
      </w:r>
    </w:p>
    <w:p>
      <w:pPr>
        <w:pStyle w:val="Normal"/>
      </w:pPr>
      <w:r>
        <w:t xml:space="preserve">Веб-аналитика Google Analytics 4: статистика посещаемости и измерение эффективности рекламы; подключается только после согласия пользователя на аналитические cookie</w:t>
      </w:r>
    </w:p>
    <w:p>
      <w:pPr>
        <w:pStyle w:val="Normal"/>
      </w:pPr>
      <w:r>
        <w:t xml:space="preserve">Прочее / веб-аналитика</w:t>
      </w:r>
    </w:p>
    <w:p>
      <w:pPr>
        <w:pStyle w:val="Normal"/>
      </w:pPr>
      <w:r>
        <w:t xml:space="preserve">Meta Platforms, Inc.</w:t>
      </w:r>
    </w:p>
    <w:p>
      <w:pPr>
        <w:pStyle w:val="Normal"/>
      </w:pPr>
      <w:r>
        <w:t xml:space="preserve">США</w:t>
      </w:r>
    </w:p>
    <w:p>
      <w:pPr>
        <w:pStyle w:val="Normal"/>
      </w:pPr>
      <w:r>
        <w:t xml:space="preserve">Meta Pixel: измерение конверсии и эффективности рекламы; подключается только после согласия пользователя на маркетинговые cookie</w:t>
      </w:r>
    </w:p>
    <w:p>
      <w:pPr>
        <w:pStyle w:val="Normal"/>
      </w:pPr>
      <w:r>
        <w:t xml:space="preserve">Прочее / маркетинг</w:t>
      </w:r>
    </w:p>
    <w:p>
      <w:pPr>
        <w:pStyle w:val="Normal"/>
      </w:pPr>
      <w:r>
        <w:t xml:space="preserve">Microsoft Corporation</w:t>
      </w:r>
    </w:p>
    <w:p>
      <w:pPr>
        <w:pStyle w:val="Normal"/>
      </w:pPr>
      <w:r>
        <w:t xml:space="preserve">США</w:t>
      </w:r>
    </w:p>
    <w:p>
      <w:pPr>
        <w:pStyle w:val="Normal"/>
      </w:pPr>
      <w:r>
        <w:t xml:space="preserve">Веб-аналитика Microsoft Clarity: статистика поведения на сайте, тепловые карты и записи сессий с маскированием ввода в чат, вопросов и ответов; подключается только после согласия пользователя на аналитические cookie</w:t>
      </w:r>
    </w:p>
    <w:p>
      <w:pPr>
        <w:pStyle w:val="Normal"/>
      </w:pPr>
      <w:r>
        <w:t xml:space="preserve">Прочее / веб-аналитика</w:t>
      </w:r>
    </w:p>
    <w:p>
      <w:pPr>
        <w:pStyle w:val="Normal"/>
      </w:pPr>
      <w:r>
        <w:t xml:space="preserve">ООО «Яндекс»</w:t>
      </w:r>
    </w:p>
    <w:p>
      <w:pPr>
        <w:pStyle w:val="Normal"/>
      </w:pPr>
      <w:r>
        <w:t xml:space="preserve">Россия</w:t>
      </w:r>
    </w:p>
    <w:p>
      <w:pPr>
        <w:pStyle w:val="Normal"/>
      </w:pPr>
      <w:r>
        <w:t xml:space="preserve">Веб-аналитика Яндекс Метрика с Вебвизором и картой кликов: статистика посещаемости и записи сессий с маскированием ввода в чат, вопросов и ответов; подключается только после согласия пользователя на аналитические cookie</w:t>
      </w:r>
    </w:p>
    <w:p>
      <w:pPr>
        <w:pStyle w:val="Normal"/>
      </w:pPr>
      <w:r>
        <w:t xml:space="preserve">Прочее / веб-аналитика</w:t>
      </w:r>
    </w:p>
    <w:p>
      <w:pPr>
        <w:pStyle w:val="Normal"/>
      </w:pPr>
      <w:r>
        <w:t xml:space="preserve">PostHog Inc.</w:t>
      </w:r>
    </w:p>
    <w:p>
      <w:pPr>
        <w:pStyle w:val="Normal"/>
      </w:pPr>
      <w:r>
        <w:t xml:space="preserve">США; данные хранятся и обрабатываются в ЕС (Франкфурт, Германия)</w:t>
      </w:r>
    </w:p>
    <w:p>
      <w:pPr>
        <w:pStyle w:val="Normal"/>
      </w:pPr>
      <w:r>
        <w:t xml:space="preserve">Продуктовая аналитика и записи сессий с маскированием ввода в чат, вопросов и ответов; подключается только после согласия пользователя на аналитические cookie</w:t>
      </w:r>
    </w:p>
    <w:p>
      <w:pPr>
        <w:pStyle w:val="Normal"/>
      </w:pPr>
      <w:r>
        <w:t xml:space="preserve">Прочее / веб-аналитика</w:t>
      </w:r>
    </w:p>
    <w:p>
      <w:pPr>
        <w:pStyle w:val="Normal"/>
      </w:pPr>
      <w:r>
        <w:t xml:space="preserve">Ни один из перечисленных поставщиков, за исключением поставщиков платёжных услуг (FreedomPay, Click, Payme), не имеет доступа к данным платёжных карт пользователей, поскольку Компания не обрабатывает PAN и SAD на своей инфраструктуре.</w:t>
      </w:r>
    </w:p>
    <w:p>
      <w:pPr>
        <w:pStyle w:val="Heading1"/>
      </w:pPr>
      <w:r>
        <w:t xml:space="preserve">5\. Процедура выбора поставщика</w:t>
      </w:r>
    </w:p>
    <w:p>
      <w:pPr>
        <w:pStyle w:val="Heading2"/>
      </w:pPr>
      <w:r>
        <w:t xml:space="preserve">5.1. Должная осмотрительность</w:t>
      </w:r>
    </w:p>
    <w:p>
      <w:pPr>
        <w:pStyle w:val="Normal"/>
      </w:pPr>
      <w:r>
        <w:t xml:space="preserve">Перед заключением договора с потенциальным поставщиком услуг, подпадающим под действие настоящей Политики, осуществляется его оценка по следующим критериям:</w:t>
      </w:r>
    </w:p>
    <w:p>
      <w:pPr>
        <w:pStyle w:val="Normal"/>
        <w:ind w:left="360" w:hanging="180"/>
      </w:pPr>
      <w:r>
        <w:t xml:space="preserve">• наличие необходимых лицензий, разрешений, регистраций;</w:t>
      </w:r>
    </w:p>
    <w:p>
      <w:pPr>
        <w:pStyle w:val="Normal"/>
        <w:ind w:left="360" w:hanging="180"/>
      </w:pPr>
      <w:r>
        <w:t xml:space="preserve">• соответствие применимым стандартам и сертификациям (PCI DSS, ISO 27001, SOC 2 — в зависимости от типа услуги);</w:t>
      </w:r>
    </w:p>
    <w:p>
      <w:pPr>
        <w:pStyle w:val="Normal"/>
        <w:ind w:left="360" w:hanging="180"/>
      </w:pPr>
      <w:r>
        <w:t xml:space="preserve">• репутация на рынке, наличие инцидентов информационной безопасности в публичных источниках;</w:t>
      </w:r>
    </w:p>
    <w:p>
      <w:pPr>
        <w:pStyle w:val="Normal"/>
        <w:ind w:left="360" w:hanging="180"/>
      </w:pPr>
      <w:r>
        <w:t xml:space="preserve">• прозрачность политик информационной безопасности и обработки данных;</w:t>
      </w:r>
    </w:p>
    <w:p>
      <w:pPr>
        <w:pStyle w:val="Normal"/>
        <w:ind w:left="360" w:hanging="180"/>
      </w:pPr>
      <w:r>
        <w:t xml:space="preserve">• способность подписать договорные обязательства по защите данных;</w:t>
      </w:r>
    </w:p>
    <w:p>
      <w:pPr>
        <w:pStyle w:val="Normal"/>
        <w:ind w:left="360" w:hanging="180"/>
      </w:pPr>
      <w:r>
        <w:t xml:space="preserve">• географическое расположение инфраструктуры обработки данных;</w:t>
      </w:r>
    </w:p>
    <w:p>
      <w:pPr>
        <w:pStyle w:val="Normal"/>
        <w:ind w:left="360" w:hanging="180"/>
      </w:pPr>
      <w:r>
        <w:t xml:space="preserve">• финансовая устойчивость;</w:t>
      </w:r>
    </w:p>
    <w:p>
      <w:pPr>
        <w:pStyle w:val="Normal"/>
        <w:ind w:left="360" w:hanging="180"/>
      </w:pPr>
      <w:r>
        <w:t xml:space="preserve">• условия SLA и поддержки.</w:t>
      </w:r>
    </w:p>
    <w:p>
      <w:pPr>
        <w:pStyle w:val="Normal"/>
      </w:pPr>
      <w:r>
        <w:t xml:space="preserve">Для платёжных провайдеров и поставщиков, имеющих доступ к данным платёжных карт, обязательным является наличие действующего сертификата PCI DSS соответствующего уровня. Запрашивается копия Attestation of Compliance (AoC).</w:t>
      </w:r>
    </w:p>
    <w:p>
      <w:pPr>
        <w:pStyle w:val="Heading2"/>
      </w:pPr>
      <w:r>
        <w:t xml:space="preserve">5.2. Документирование оценки</w:t>
      </w:r>
    </w:p>
    <w:p>
      <w:pPr>
        <w:pStyle w:val="Normal"/>
      </w:pPr>
      <w:r>
        <w:t xml:space="preserve">Результаты оценки документально оформляются в виде краткого отчёта, содержащего: наименование поставщика, предлагаемые услуги, перечень проверенных критериев, выявленные риски, рекомендацию о заключении договора или отказе. Отчёт хранится в течение срока действия договора и 3 лет после его прекращения.</w:t>
      </w:r>
    </w:p>
    <w:p>
      <w:pPr>
        <w:pStyle w:val="Heading1"/>
      </w:pPr>
      <w:r>
        <w:t xml:space="preserve">6\. Договорные требования</w:t>
      </w:r>
    </w:p>
    <w:p>
      <w:pPr>
        <w:pStyle w:val="Normal"/>
      </w:pPr>
      <w:r>
        <w:t xml:space="preserve">Договор с TPSP, имеющим доступ к данным Компании или влияющим на безопасность данных, в обязательном порядке содержит положения:</w:t>
      </w:r>
    </w:p>
    <w:p>
      <w:pPr>
        <w:pStyle w:val="Normal"/>
        <w:ind w:left="360" w:hanging="180"/>
      </w:pPr>
      <w:r>
        <w:t xml:space="preserve">• обязательство поставщика соблюдать применимое законодательство и стандарты (в том числе PCI DSS — для платёжных и инфраструктурных провайдеров; Закон РУз № ЗРУ-547 «О персональных данных» — для обработчиков персональных данных пользователей-резидентов Узбекистана);</w:t>
      </w:r>
    </w:p>
    <w:p>
      <w:pPr>
        <w:pStyle w:val="Normal"/>
        <w:ind w:left="360" w:hanging="180"/>
      </w:pPr>
      <w:r>
        <w:t xml:space="preserve">• чёткое распределение ответственности по обеспечению информационной безопасности между Компанией и поставщиком;</w:t>
      </w:r>
    </w:p>
    <w:p>
      <w:pPr>
        <w:pStyle w:val="Normal"/>
        <w:ind w:left="360" w:hanging="180"/>
      </w:pPr>
      <w:r>
        <w:t xml:space="preserve">• обязанность поставщика уведомить Компанию об инцидентах информационной безопасности, затрагивающих данные Компании, не позднее установленного срока;</w:t>
      </w:r>
    </w:p>
    <w:p>
      <w:pPr>
        <w:pStyle w:val="Normal"/>
        <w:ind w:left="360" w:hanging="180"/>
      </w:pPr>
      <w:r>
        <w:t xml:space="preserve">• право Компании на запрос подтверждающих документов о соответствии поставщика стандартам безопасности;</w:t>
      </w:r>
    </w:p>
    <w:p>
      <w:pPr>
        <w:pStyle w:val="Normal"/>
        <w:ind w:left="360" w:hanging="180"/>
      </w:pPr>
      <w:r>
        <w:t xml:space="preserve">• обязательства по конфиденциальности информации, полученной от Компании;</w:t>
      </w:r>
    </w:p>
    <w:p>
      <w:pPr>
        <w:pStyle w:val="Normal"/>
        <w:ind w:left="360" w:hanging="180"/>
      </w:pPr>
      <w:r>
        <w:t xml:space="preserve">• порядок возврата или уничтожения данных Компании при прекращении договора;</w:t>
      </w:r>
    </w:p>
    <w:p>
      <w:pPr>
        <w:pStyle w:val="Normal"/>
        <w:ind w:left="360" w:hanging="180"/>
      </w:pPr>
      <w:r>
        <w:t xml:space="preserve">• ответственность за нарушение договорных обязательств в части безопасности данных.</w:t>
      </w:r>
    </w:p>
    <w:p>
      <w:pPr>
        <w:pStyle w:val="Normal"/>
      </w:pPr>
      <w:r>
        <w:t xml:space="preserve">При невозможности включения отдельных положений в стандартные условия международных поставщиков (Google, Anthropic, OpenAI, Voyage AI, Netcup и др.) Компания опирается на публичные условия использования, политики конфиденциальности и Data Processing Agreement, предлагаемые этими поставщиками, и обеспечивает их соответствие требованиям Компании. Заключение DPA с указанными поставщиками является обязательным.</w:t>
      </w:r>
    </w:p>
    <w:p>
      <w:pPr>
        <w:pStyle w:val="Heading1"/>
      </w:pPr>
      <w:r>
        <w:t xml:space="preserve">7\. Распределение обязанностей по обеспечению соответствия PCI DSS</w:t>
      </w:r>
    </w:p>
    <w:p>
      <w:pPr>
        <w:pStyle w:val="Normal"/>
      </w:pPr>
      <w:r>
        <w:t xml:space="preserve">Между Компанией и TPSP осуществляется чёткое распределение обязанностей по обеспечению соответствия требованиям PCI DSS. Распределение фиксируется документально в матрице ответственности (Responsibility Matrix).</w:t>
      </w:r>
    </w:p>
    <w:p>
      <w:pPr>
        <w:pStyle w:val="Heading2"/>
      </w:pPr>
      <w:r>
        <w:t xml:space="preserve">7.1. Обязанности платёжных провайдеров (FreedomPay, Click, Payme)</w:t>
      </w:r>
    </w:p>
    <w:p>
      <w:pPr>
        <w:pStyle w:val="Normal"/>
        <w:ind w:left="360" w:hanging="180"/>
      </w:pPr>
      <w:r>
        <w:t xml:space="preserve">• обработка, хранение, передача данных платёжных карт пользователей;</w:t>
      </w:r>
    </w:p>
    <w:p>
      <w:pPr>
        <w:pStyle w:val="Normal"/>
        <w:ind w:left="360" w:hanging="180"/>
      </w:pPr>
      <w:r>
        <w:t xml:space="preserve">• обеспечение безопасности платёжного шлюза и платёжных страниц;</w:t>
      </w:r>
    </w:p>
    <w:p>
      <w:pPr>
        <w:pStyle w:val="Normal"/>
        <w:ind w:left="360" w:hanging="180"/>
      </w:pPr>
      <w:r>
        <w:t xml:space="preserve">• соответствие требованиям PCI DSS, применимым к платёжному сервисному провайдеру;</w:t>
      </w:r>
    </w:p>
    <w:p>
      <w:pPr>
        <w:pStyle w:val="Normal"/>
        <w:ind w:left="360" w:hanging="180"/>
      </w:pPr>
      <w:r>
        <w:t xml:space="preserve">• уведомление Компании о любых инцидентах безопасности, затрагивающих платёжные операции.</w:t>
      </w:r>
    </w:p>
    <w:p>
      <w:pPr>
        <w:pStyle w:val="Heading2"/>
      </w:pPr>
      <w:r>
        <w:t xml:space="preserve">7.2. Обязанности Компании</w:t>
      </w:r>
    </w:p>
    <w:p>
      <w:pPr>
        <w:pStyle w:val="Normal"/>
        <w:ind w:left="360" w:hanging="180"/>
      </w:pPr>
      <w:r>
        <w:t xml:space="preserve">• обеспечение того, чтобы данные платёжных карт не передавались на инфраструктуру Компании;</w:t>
      </w:r>
    </w:p>
    <w:p>
      <w:pPr>
        <w:pStyle w:val="Normal"/>
        <w:ind w:left="360" w:hanging="180"/>
      </w:pPr>
      <w:r>
        <w:t xml:space="preserve">• безопасная интеграция с платёжным шлюзом (правильная настройка redirect flow, проверка возвращаемых параметров);</w:t>
      </w:r>
    </w:p>
    <w:p>
      <w:pPr>
        <w:pStyle w:val="Normal"/>
        <w:ind w:left="360" w:hanging="180"/>
      </w:pPr>
      <w:r>
        <w:t xml:space="preserve">• защита веб-сайта safelaw.ai от вмешательств, которые могли бы привести к перенаправлению пользователей на поддельные платёжные страницы;</w:t>
      </w:r>
    </w:p>
    <w:p>
      <w:pPr>
        <w:pStyle w:val="Normal"/>
        <w:ind w:left="360" w:hanging="180"/>
      </w:pPr>
      <w:r>
        <w:t xml:space="preserve">• соблюдение требований SAQ A, применимых к мерчанту с полным аутсорсингом обработки CHD;</w:t>
      </w:r>
    </w:p>
    <w:p>
      <w:pPr>
        <w:pStyle w:val="Normal"/>
        <w:ind w:left="360" w:hanging="180"/>
      </w:pPr>
      <w:r>
        <w:t xml:space="preserve">• ведение реестра TPSP и мониторинг их соответствия PCI DSS.</w:t>
      </w:r>
    </w:p>
    <w:p>
      <w:pPr>
        <w:pStyle w:val="Heading1"/>
      </w:pPr>
      <w:r>
        <w:t xml:space="preserve">8\. Мониторинг соответствия поставщиков</w:t>
      </w:r>
    </w:p>
    <w:p>
      <w:pPr>
        <w:pStyle w:val="Normal"/>
      </w:pPr>
      <w:r>
        <w:t xml:space="preserve">Компания осуществляет регулярный мониторинг соответствия поставщиков услуг применимым требованиям:</w:t>
      </w:r>
    </w:p>
    <w:p>
      <w:pPr>
        <w:pStyle w:val="Normal"/>
        <w:ind w:left="360" w:hanging="180"/>
      </w:pPr>
      <w:r>
        <w:t xml:space="preserve">• не реже одного раза в 12 месяцев запрашивается актуальная Attestation of Compliance у платёжных и инфраструктурных TPSP;</w:t>
      </w:r>
    </w:p>
    <w:p>
      <w:pPr>
        <w:pStyle w:val="Normal"/>
        <w:ind w:left="360" w:hanging="180"/>
      </w:pPr>
      <w:r>
        <w:t xml:space="preserve">• при наличии у поставщика публичного Trust Center или страницы соответствия (Compliance Page) актуальность статуса проверяется по официальным источникам;</w:t>
      </w:r>
    </w:p>
    <w:p>
      <w:pPr>
        <w:pStyle w:val="Normal"/>
        <w:ind w:left="360" w:hanging="180"/>
      </w:pPr>
      <w:r>
        <w:t xml:space="preserve">• отслеживаются публикации поставщиков об инцидентах безопасности, в том числе через их официальные блоги, страницы статуса и публичные отчёты;</w:t>
      </w:r>
    </w:p>
    <w:p>
      <w:pPr>
        <w:pStyle w:val="Normal"/>
        <w:ind w:left="360" w:hanging="180"/>
      </w:pPr>
      <w:r>
        <w:t xml:space="preserve">• при выявлении существенных проблем у поставщика (утечка данных, отзыв сертификации, ухудшение финансового положения) проводится повторная оценка.</w:t>
      </w:r>
    </w:p>
    <w:p>
      <w:pPr>
        <w:pStyle w:val="Normal"/>
      </w:pPr>
      <w:r>
        <w:t xml:space="preserve">Результаты мониторинга фиксируются в реестре TPSP.</w:t>
      </w:r>
    </w:p>
    <w:p>
      <w:pPr>
        <w:pStyle w:val="Heading1"/>
      </w:pPr>
      <w:r>
        <w:t xml:space="preserve">9\. Управление изменениями</w:t>
      </w:r>
    </w:p>
    <w:p>
      <w:pPr>
        <w:pStyle w:val="Normal"/>
      </w:pPr>
      <w:r>
        <w:t xml:space="preserve">При любом из следующих событий проводится пересмотр статуса поставщика:</w:t>
      </w:r>
    </w:p>
    <w:p>
      <w:pPr>
        <w:pStyle w:val="Normal"/>
        <w:ind w:left="360" w:hanging="180"/>
      </w:pPr>
      <w:r>
        <w:t xml:space="preserve">• изменение перечня услуг, оказываемых поставщиком;</w:t>
      </w:r>
    </w:p>
    <w:p>
      <w:pPr>
        <w:pStyle w:val="Normal"/>
        <w:ind w:left="360" w:hanging="180"/>
      </w:pPr>
      <w:r>
        <w:t xml:space="preserve">• изменение объёма или категории данных, передаваемых поставщику;</w:t>
      </w:r>
    </w:p>
    <w:p>
      <w:pPr>
        <w:pStyle w:val="Normal"/>
        <w:ind w:left="360" w:hanging="180"/>
      </w:pPr>
      <w:r>
        <w:t xml:space="preserve">• истечение срока сертификации/AoC поставщика;</w:t>
      </w:r>
    </w:p>
    <w:p>
      <w:pPr>
        <w:pStyle w:val="Normal"/>
        <w:ind w:left="360" w:hanging="180"/>
      </w:pPr>
      <w:r>
        <w:t xml:space="preserve">• публикация информации об инциденте безопасности у поставщика;</w:t>
      </w:r>
    </w:p>
    <w:p>
      <w:pPr>
        <w:pStyle w:val="Normal"/>
        <w:ind w:left="360" w:hanging="180"/>
      </w:pPr>
      <w:r>
        <w:t xml:space="preserve">• изменение собственника, юрисдикции или существенных условий деятельности поставщика.</w:t>
      </w:r>
    </w:p>
    <w:p>
      <w:pPr>
        <w:pStyle w:val="Heading1"/>
      </w:pPr>
      <w:r>
        <w:t xml:space="preserve">10\. Прекращение отношений с поставщиком</w:t>
      </w:r>
    </w:p>
    <w:p>
      <w:pPr>
        <w:pStyle w:val="Normal"/>
      </w:pPr>
      <w:r>
        <w:t xml:space="preserve">При прекращении договора с поставщиком обеспечиваются:</w:t>
      </w:r>
    </w:p>
    <w:p>
      <w:pPr>
        <w:pStyle w:val="Normal"/>
        <w:ind w:left="360" w:hanging="180"/>
      </w:pPr>
      <w:r>
        <w:t xml:space="preserve">• своевременное прекращение всех технических интеграций (отзыв API-ключей, токенов доступа, удаление учётных записей у поставщика и в системах Компании);</w:t>
      </w:r>
    </w:p>
    <w:p>
      <w:pPr>
        <w:pStyle w:val="Normal"/>
        <w:ind w:left="360" w:hanging="180"/>
      </w:pPr>
      <w:r>
        <w:t xml:space="preserve">• возврат или уничтожение данных Компании, переданных поставщику, с получением документального подтверждения;</w:t>
      </w:r>
    </w:p>
    <w:p>
      <w:pPr>
        <w:pStyle w:val="Normal"/>
        <w:ind w:left="360" w:hanging="180"/>
      </w:pPr>
      <w:r>
        <w:t xml:space="preserve">• исключение поставщика из активного реестра TPSP (с сохранением записи в архивной части на установленный срок);</w:t>
      </w:r>
    </w:p>
    <w:p>
      <w:pPr>
        <w:pStyle w:val="Normal"/>
        <w:ind w:left="360" w:hanging="180"/>
      </w:pPr>
      <w:r>
        <w:t xml:space="preserve">• уведомление работников Компании, использовавших услуги поставщика, о порядке перехода на альтернативное решение.</w:t>
      </w:r>
    </w:p>
    <w:p>
      <w:pPr>
        <w:pStyle w:val="Heading1"/>
      </w:pPr>
      <w:r>
        <w:t xml:space="preserve">11\. Ответственное лицо</w:t>
      </w:r>
    </w:p>
    <w:p>
      <w:pPr>
        <w:pStyle w:val="Normal"/>
      </w:pPr>
      <w:r>
        <w:t xml:space="preserve">Выполнение настоящей Политики, ведение реестра TPSP и мониторинг соответствия поставщиков возлагаются на ответственного за работу с поставщиками услуг. Роль возлагается приказом директора на работника Общества; в настоящей Политике указывается только роль, без фамилий. Ответственный за работу с поставщиками услуг согласует оценку рисков с ответственным за информационную безопасность; решения о заключении и прекращении договоров с поставщиками принимает директор Общества.</w:t>
      </w:r>
    </w:p>
    <w:p>
      <w:pPr>
        <w:pStyle w:val="Heading1"/>
      </w:pPr>
      <w:r>
        <w:t xml:space="preserve">12\. Пересмотр Политики</w:t>
      </w:r>
    </w:p>
    <w:p>
      <w:pPr>
        <w:pStyle w:val="Normal"/>
      </w:pPr>
      <w:r>
        <w:t xml:space="preserve">Настоящая Политика пересматривается не реже одного раза в 12 месяцев, а также при существенных изменениях состава поставщиков услуг, изменениях бизнес-модели Компании, изменениях нормативно-правовой базы или стандартов (PCI DSS).</w:t>
      </w:r>
    </w:p>
    <w:p>
      <w:pPr>
        <w:pStyle w:val="Heading1"/>
      </w:pPr>
      <w:r>
        <w:t xml:space="preserve">13\. Сведения о документе</w:t>
      </w:r>
    </w:p>
    <w:p>
      <w:pPr>
        <w:pStyle w:val="Normal"/>
      </w:pPr>
      <w:r>
        <w:rPr>
          <w:b/>
        </w:rPr>
        <w:t xml:space="preserve">Версия</w:t>
      </w:r>
    </w:p>
    <w:p>
      <w:pPr>
        <w:pStyle w:val="Normal"/>
      </w:pPr>
      <w:r>
        <w:rPr>
          <w:b/>
        </w:rPr>
        <w:t xml:space="preserve">Дата</w:t>
      </w:r>
    </w:p>
    <w:p>
      <w:pPr>
        <w:pStyle w:val="Normal"/>
      </w:pPr>
      <w:r>
        <w:rPr>
          <w:b/>
        </w:rPr>
        <w:t xml:space="preserve">Изменения</w:t>
      </w:r>
    </w:p>
    <w:p>
      <w:pPr>
        <w:pStyle w:val="Normal"/>
      </w:pPr>
      <w:r>
        <w:rPr>
          <w:b/>
        </w:rPr>
        <w:t xml:space="preserve">Утвердил</w:t>
      </w:r>
    </w:p>
    <w:p>
      <w:pPr>
        <w:pStyle w:val="Normal"/>
      </w:pPr>
      <w:r>
        <w:t xml:space="preserve">1.0</w:t>
      </w:r>
    </w:p>
    <w:p>
      <w:pPr>
        <w:pStyle w:val="Normal"/>
      </w:pPr>
      <w:r>
        <w:t xml:space="preserve">15.05.2026</w:t>
      </w:r>
    </w:p>
    <w:p>
      <w:pPr>
        <w:pStyle w:val="Normal"/>
      </w:pPr>
      <w:r>
        <w:t xml:space="preserve">Первичное утверждение документа</w:t>
      </w:r>
    </w:p>
    <w:p>
      <w:pPr>
        <w:pStyle w:val="Normal"/>
      </w:pPr>
      <w:r>
        <w:t xml:space="preserve">Директор Общества</w:t>
      </w:r>
    </w:p>
    <w:p>
      <w:pPr>
        <w:pStyle w:val="Normal"/>
      </w:pPr>
      <w:r>
        <w:t xml:space="preserve">1.1</w:t>
      </w:r>
    </w:p>
    <w:p>
      <w:pPr>
        <w:pStyle w:val="Normal"/>
      </w:pPr>
      <w:r>
        <w:t xml:space="preserve">22.09.2026</w:t>
      </w:r>
    </w:p>
    <w:p>
      <w:pPr>
        <w:pStyle w:val="Normal"/>
      </w:pPr>
      <w:r>
        <w:t xml:space="preserve">Плановый пересмотр: обновление реестра поставщиков услуг (FreedomPay, Telegram); из реестра исключён прежний платёжный эквайер, платёжным поставщиком указан FreedomPay; роль ответственного за работу с поставщиками услуг; контактные данные; реквизиты Общества</w:t>
      </w:r>
    </w:p>
    <w:p>
      <w:pPr>
        <w:pStyle w:val="Normal"/>
      </w:pPr>
      <w:r>
        <w:t xml:space="preserve">Директор Общества</w:t>
      </w:r>
    </w:p>
    <w:p>
      <w:pPr>
        <w:pStyle w:val="Normal"/>
      </w:pPr>
      <w:r>
        <w:t xml:space="preserve">1.2</w:t>
      </w:r>
    </w:p>
    <w:p>
      <w:pPr>
        <w:pStyle w:val="Normal"/>
      </w:pPr>
      <w:r>
        <w:t xml:space="preserve">30.10.2026</w:t>
      </w:r>
    </w:p>
    <w:p>
      <w:pPr>
        <w:pStyle w:val="Normal"/>
      </w:pPr>
      <w:r>
        <w:t xml:space="preserve">Внеплановый пересмотр: в реестр поставщиков услуг добавлены платёжные сервисы Click и Payme и сервис ранжирования Voyage AI; реестр приведён в соответствие с фактически используемыми сервисами</w:t>
      </w:r>
    </w:p>
    <w:p>
      <w:pPr>
        <w:pStyle w:val="Normal"/>
      </w:pPr>
      <w:r>
        <w:t xml:space="preserve">Директор Общества</w:t>
      </w:r>
    </w:p>
    <w:p>
      <w:pPr>
        <w:pStyle w:val="Heading2"/>
      </w:pPr>
      <w:r>
        <w:t xml:space="preserve">Утверждение документа</w:t>
      </w:r>
    </w:p>
    <w:p>
      <w:pPr>
        <w:pStyle w:val="Normal"/>
      </w:pPr>
      <w:r>
        <w:t xml:space="preserve">Документ утверждён директором Общества и введён в действие с 15 мая 2026 года. Документ подлежит обязательному ознакомлению всеми работниками, подрядчиками и иными лицами, имеющими доступ к информационным активам Общества.</w:t>
      </w:r>
    </w:p>
    <w:sectPr>
      <w:pgSz w:w="11906" w:h="16838"/>
      <w:pgMar w:top="1134" w:right="907" w:bottom="1021" w:left="90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</w:rPr>
    </w:rPrDefault>
  </w:docDefaults>
  <w:style w:type="paragraph" w:styleId="Title">
    <w:name w:val="Title"/>
    <w:pPr>
      <w:spacing w:before="0" w:after="200"/>
    </w:pPr>
    <w:rPr>
      <w:rFonts w:ascii="Calibri" w:hAnsi="Calibri"/>
      <w:sz w:val="34"/>
      <w:b/>
    </w:rPr>
  </w:style>
  <w:style w:type="paragraph" w:styleId="Heading1">
    <w:name w:val="heading 1"/>
    <w:pPr>
      <w:spacing w:before="280" w:after="120"/>
      <w:outlineLvl w:val="0"/>
    </w:pPr>
    <w:rPr>
      <w:rFonts w:ascii="Calibri" w:hAnsi="Calibri"/>
      <w:sz w:val="27"/>
      <w:b/>
    </w:rPr>
  </w:style>
  <w:style w:type="paragraph" w:styleId="Heading2">
    <w:name w:val="heading 2"/>
    <w:pPr>
      <w:spacing w:before="240" w:after="100"/>
      <w:outlineLvl w:val="1"/>
    </w:pPr>
    <w:rPr>
      <w:rFonts w:ascii="Calibri" w:hAnsi="Calibri"/>
      <w:sz w:val="23"/>
      <w:b/>
    </w:rPr>
  </w:style>
  <w:style w:type="paragraph" w:styleId="Heading3">
    <w:name w:val="heading 3"/>
    <w:pPr>
      <w:spacing w:before="200" w:after="80"/>
      <w:outlineLvl w:val="2"/>
    </w:pPr>
    <w:rPr>
      <w:rFonts w:ascii="Calibri" w:hAnsi="Calibri"/>
      <w:sz w:val="21"/>
      <w:b/>
    </w:rPr>
  </w:style>
  <w:style w:type="paragraph" w:styleId="Normal">
    <w:name w:val="Normal"/>
    <w:pPr>
      <w:spacing w:before="0" w:after="120"/>
    </w:pPr>
    <w:rPr>
      <w:rFonts w:ascii="Calibri" w:hAnsi="Calibri"/>
      <w:sz w:val="21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