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</w:rPr>
        <w:t xml:space="preserve">ООО «SELLAI»</w:t>
      </w:r>
    </w:p>
    <w:p>
      <w:pPr>
        <w:pStyle w:val="Normal"/>
      </w:pPr>
      <w:r>
        <w:t xml:space="preserve">Сервис SafeLaw (safelaw.ai)</w:t>
      </w:r>
    </w:p>
    <w:p>
      <w:pPr>
        <w:pStyle w:val="Normal"/>
      </w:pPr>
      <w:r>
        <w:t xml:space="preserve">ИНН: 312530703</w:t>
      </w:r>
    </w:p>
    <w:p>
      <w:pPr>
        <w:pStyle w:val="Normal"/>
      </w:pPr>
      <w:r>
        <w:t xml:space="preserve">Адрес: Республика Узбекистан, Республика Каракалпакстан, г. Нукус, ул. А. С. Пушкина, 91/7</w:t>
      </w:r>
    </w:p>
    <w:p>
      <w:pPr>
        <w:pStyle w:val="Normal"/>
      </w:pPr>
      <w:r>
        <w:t xml:space="preserve">Электронная почта: info@safelaw.ai. Телефон: +998 90 590 59 00</w:t>
      </w:r>
    </w:p>
    <w:p>
      <w:pPr>
        <w:pStyle w:val="Normal"/>
      </w:pPr>
      <w:r>
        <w:rPr>
          <w:b/>
        </w:rPr>
        <w:t xml:space="preserve">ПЛАН РЕАГИРОВАНИЯ НА ИНЦИДЕНТЫ ИНФОРМАЦИОННОЙ БЕЗОПАСНОСТИ</w:t>
      </w:r>
    </w:p>
    <w:p>
      <w:pPr>
        <w:pStyle w:val="Normal"/>
      </w:pPr>
      <w:r>
        <w:t xml:space="preserve">Документ IRP-01</w:t>
      </w:r>
    </w:p>
    <w:p>
      <w:pPr>
        <w:pStyle w:val="Normal"/>
      </w:pPr>
      <w:r>
        <w:t xml:space="preserve">Версия 1.2</w:t>
      </w:r>
    </w:p>
    <w:p>
      <w:pPr>
        <w:pStyle w:val="Normal"/>
      </w:pPr>
      <w:r>
        <w:t xml:space="preserve">Дата ввода в действие: 15 мая 2026 г.</w:t>
      </w:r>
    </w:p>
    <w:p>
      <w:pPr>
        <w:pStyle w:val="Normal"/>
      </w:pPr>
      <w:r>
        <w:t xml:space="preserve">Дата последнего пересмотра: 30 октября 2026 г.</w:t>
      </w:r>
    </w:p>
    <w:p>
      <w:pPr>
        <w:pStyle w:val="Normal"/>
      </w:pPr>
      <w:r>
        <w:t xml:space="preserve">_Соответствие: PCI DSS v4.0.1, SAQ A_</w:t>
      </w:r>
    </w:p>
    <w:p>
      <w:pPr>
        <w:pStyle w:val="Heading1"/>
      </w:pPr>
      <w:r>
        <w:t xml:space="preserve">1\. Назначение</w:t>
      </w:r>
    </w:p>
    <w:p>
      <w:pPr>
        <w:pStyle w:val="Normal"/>
      </w:pPr>
      <w:r>
        <w:t xml:space="preserve">Настоящий План реагирования на инциденты информационной безопасности (далее — План) устанавливает порядок действий ООО «SELLAI» (далее — Компания) при выявлении инцидентов информационной безопасности, в том числе инцидентов, затрагивающих платёжные данные, обрабатываемые в рамках сервиса SafeLaw (safelaw.ai). План разработан в соответствии с требованиями PCI DSS v4.0.1 (Требование 12.10).</w:t>
      </w:r>
    </w:p>
    <w:p>
      <w:pPr>
        <w:pStyle w:val="Normal"/>
      </w:pPr>
      <w:r>
        <w:t xml:space="preserve">Цели Плана:</w:t>
      </w:r>
    </w:p>
    <w:p>
      <w:pPr>
        <w:pStyle w:val="Normal"/>
        <w:ind w:left="360" w:hanging="180"/>
      </w:pPr>
      <w:r>
        <w:t xml:space="preserve">• обеспечение быстрого и эффективного реагирования на инциденты информационной безопасности;</w:t>
      </w:r>
    </w:p>
    <w:p>
      <w:pPr>
        <w:pStyle w:val="Normal"/>
        <w:ind w:left="360" w:hanging="180"/>
      </w:pPr>
      <w:r>
        <w:t xml:space="preserve">• минимизация ущерба и предотвращение распространения последствий инцидента;</w:t>
      </w:r>
    </w:p>
    <w:p>
      <w:pPr>
        <w:pStyle w:val="Normal"/>
        <w:ind w:left="360" w:hanging="180"/>
      </w:pPr>
      <w:r>
        <w:t xml:space="preserve">• своевременное информирование заинтересованных сторон (платёжных провайдеров FreedomPay, Click и Payme, платёжных систем, регуляторов, пользователей);</w:t>
      </w:r>
    </w:p>
    <w:p>
      <w:pPr>
        <w:pStyle w:val="Normal"/>
        <w:ind w:left="360" w:hanging="180"/>
      </w:pPr>
      <w:r>
        <w:t xml:space="preserve">• восстановление нормальной работы информационных систем;</w:t>
      </w:r>
    </w:p>
    <w:p>
      <w:pPr>
        <w:pStyle w:val="Normal"/>
        <w:ind w:left="360" w:hanging="180"/>
      </w:pPr>
      <w:r>
        <w:t xml:space="preserve">• извлечение уроков и совершенствование мер защиты по результатам инцидента.</w:t>
      </w:r>
    </w:p>
    <w:p>
      <w:pPr>
        <w:pStyle w:val="Heading1"/>
      </w:pPr>
      <w:r>
        <w:t xml:space="preserve">2\. Область применения</w:t>
      </w:r>
    </w:p>
    <w:p>
      <w:pPr>
        <w:pStyle w:val="Normal"/>
      </w:pPr>
      <w:r>
        <w:t xml:space="preserve">План применяется ко всем инцидентам информационной безопасности, затрагивающим:</w:t>
      </w:r>
    </w:p>
    <w:p>
      <w:pPr>
        <w:pStyle w:val="Normal"/>
        <w:ind w:left="360" w:hanging="180"/>
      </w:pPr>
      <w:r>
        <w:t xml:space="preserve">• информационные системы Компании;</w:t>
      </w:r>
    </w:p>
    <w:p>
      <w:pPr>
        <w:pStyle w:val="Normal"/>
        <w:ind w:left="360" w:hanging="180"/>
      </w:pPr>
      <w:r>
        <w:t xml:space="preserve">• данные пользователей сервиса SafeLaw;</w:t>
      </w:r>
    </w:p>
    <w:p>
      <w:pPr>
        <w:pStyle w:val="Normal"/>
        <w:ind w:left="360" w:hanging="180"/>
      </w:pPr>
      <w:r>
        <w:t xml:space="preserve">• инфраструктуру, обеспечивающую работу платёжных операций;</w:t>
      </w:r>
    </w:p>
    <w:p>
      <w:pPr>
        <w:pStyle w:val="Normal"/>
        <w:ind w:left="360" w:hanging="180"/>
      </w:pPr>
      <w:r>
        <w:t xml:space="preserve">• деловую репутацию Компании.</w:t>
      </w:r>
    </w:p>
    <w:p>
      <w:pPr>
        <w:pStyle w:val="Normal"/>
      </w:pPr>
      <w:r>
        <w:t xml:space="preserve">План обязателен для исполнения всеми работниками и подрядчиками Компании.</w:t>
      </w:r>
    </w:p>
    <w:p>
      <w:pPr>
        <w:pStyle w:val="Heading1"/>
      </w:pPr>
      <w:r>
        <w:t xml:space="preserve">3\. Определения</w:t>
      </w:r>
    </w:p>
    <w:p>
      <w:pPr>
        <w:pStyle w:val="Normal"/>
      </w:pPr>
      <w:r>
        <w:rPr>
          <w:b/>
        </w:rPr>
        <w:t xml:space="preserve">Событие информационной безопасности</w:t>
      </w:r>
      <w:r>
        <w:t xml:space="preserve"> — выявленное состояние системы, сервиса или сети, указывающее на возможное нарушение информационной безопасности.</w:t>
      </w:r>
    </w:p>
    <w:p>
      <w:pPr>
        <w:pStyle w:val="Normal"/>
      </w:pPr>
      <w:r>
        <w:rPr>
          <w:b/>
        </w:rPr>
        <w:t xml:space="preserve">Инцидент информационной безопасности</w:t>
      </w:r>
      <w:r>
        <w:t xml:space="preserve"> — одно или несколько нежелательных или непредвиденных событий информационной безопасности, которые имеют значительную вероятность нарушения деловой деятельности и угрожают информационной безопасности.</w:t>
      </w:r>
    </w:p>
    <w:p>
      <w:pPr>
        <w:pStyle w:val="Normal"/>
      </w:pPr>
      <w:r>
        <w:rPr>
          <w:b/>
        </w:rPr>
        <w:t xml:space="preserve">Компрометация данных</w:t>
      </w:r>
      <w:r>
        <w:t xml:space="preserve"> — фактический или подозреваемый несанкционированный доступ, раскрытие, изменение или уничтожение данных.</w:t>
      </w:r>
    </w:p>
    <w:p>
      <w:pPr>
        <w:pStyle w:val="Normal"/>
      </w:pPr>
      <w:r>
        <w:rPr>
          <w:b/>
        </w:rPr>
        <w:t xml:space="preserve">Команда реагирования (IRT — Incident Response Team)</w:t>
      </w:r>
      <w:r>
        <w:t xml:space="preserve"> — группа лиц, ответственная за реагирование на инциденты информационной безопасности.</w:t>
      </w:r>
    </w:p>
    <w:p>
      <w:pPr>
        <w:pStyle w:val="Heading1"/>
      </w:pPr>
      <w:r>
        <w:t xml:space="preserve">4\. Классификация инцидентов</w:t>
      </w:r>
    </w:p>
    <w:p>
      <w:pPr>
        <w:pStyle w:val="Normal"/>
      </w:pPr>
      <w:r>
        <w:t xml:space="preserve">Инциденты классифицируются по уровню критичности:</w:t>
      </w:r>
    </w:p>
    <w:p>
      <w:pPr>
        <w:pStyle w:val="Normal"/>
      </w:pPr>
      <w:r>
        <w:rPr>
          <w:b/>
        </w:rPr>
        <w:t xml:space="preserve">Уровень</w:t>
      </w:r>
    </w:p>
    <w:p>
      <w:pPr>
        <w:pStyle w:val="Normal"/>
      </w:pPr>
      <w:r>
        <w:rPr>
          <w:b/>
        </w:rPr>
        <w:t xml:space="preserve">Название</w:t>
      </w:r>
    </w:p>
    <w:p>
      <w:pPr>
        <w:pStyle w:val="Normal"/>
      </w:pPr>
      <w:r>
        <w:rPr>
          <w:b/>
        </w:rPr>
        <w:t xml:space="preserve">Описание</w:t>
      </w:r>
    </w:p>
    <w:p>
      <w:pPr>
        <w:pStyle w:val="Normal"/>
      </w:pPr>
      <w:r>
        <w:t xml:space="preserve">P1</w:t>
      </w:r>
    </w:p>
    <w:p>
      <w:pPr>
        <w:pStyle w:val="Normal"/>
      </w:pPr>
      <w:r>
        <w:t xml:space="preserve">Критический</w:t>
      </w:r>
    </w:p>
    <w:p>
      <w:pPr>
        <w:pStyle w:val="Normal"/>
      </w:pPr>
      <w:r>
        <w:t xml:space="preserve">Компрометация данных платёжных карт; компрометация учётных записей с административными привилегиями; масштабное нарушение доступности сервиса (&gt;4 часов); подозрение на наличие вредоносного ПО в производственной инфраструктуре.</w:t>
      </w:r>
    </w:p>
    <w:p>
      <w:pPr>
        <w:pStyle w:val="Normal"/>
      </w:pPr>
      <w:r>
        <w:t xml:space="preserve">P2</w:t>
      </w:r>
    </w:p>
    <w:p>
      <w:pPr>
        <w:pStyle w:val="Normal"/>
      </w:pPr>
      <w:r>
        <w:t xml:space="preserve">Высокий</w:t>
      </w:r>
    </w:p>
    <w:p>
      <w:pPr>
        <w:pStyle w:val="Normal"/>
      </w:pPr>
      <w:r>
        <w:t xml:space="preserve">Утечка персональных данных пользователей; компрометация учётных записей пользователей сервиса; целенаправленные атаки (фишинг руководства, попытки взлома); серьёзные уязвимости публичных сервисов.</w:t>
      </w:r>
    </w:p>
    <w:p>
      <w:pPr>
        <w:pStyle w:val="Normal"/>
      </w:pPr>
      <w:r>
        <w:t xml:space="preserve">P3</w:t>
      </w:r>
    </w:p>
    <w:p>
      <w:pPr>
        <w:pStyle w:val="Normal"/>
      </w:pPr>
      <w:r>
        <w:t xml:space="preserve">Средний</w:t>
      </w:r>
    </w:p>
    <w:p>
      <w:pPr>
        <w:pStyle w:val="Normal"/>
      </w:pPr>
      <w:r>
        <w:t xml:space="preserve">Подозрительная активность, не приведшая к компрометации; единичные случаи фишинга; неавторизованные попытки входа в учётные записи без последствий.</w:t>
      </w:r>
    </w:p>
    <w:p>
      <w:pPr>
        <w:pStyle w:val="Normal"/>
      </w:pPr>
      <w:r>
        <w:t xml:space="preserve">P4</w:t>
      </w:r>
    </w:p>
    <w:p>
      <w:pPr>
        <w:pStyle w:val="Normal"/>
      </w:pPr>
      <w:r>
        <w:t xml:space="preserve">Низкий</w:t>
      </w:r>
    </w:p>
    <w:p>
      <w:pPr>
        <w:pStyle w:val="Normal"/>
      </w:pPr>
      <w:r>
        <w:t xml:space="preserve">Нарушения политик информационной безопасности без существенных последствий; технические сбои без признаков атаки.</w:t>
      </w:r>
    </w:p>
    <w:p>
      <w:pPr>
        <w:pStyle w:val="Heading1"/>
      </w:pPr>
      <w:r>
        <w:t xml:space="preserve">5\. Примеры типов инцидентов</w:t>
      </w:r>
    </w:p>
    <w:p>
      <w:pPr>
        <w:pStyle w:val="Normal"/>
        <w:ind w:left="360" w:hanging="180"/>
      </w:pPr>
      <w:r>
        <w:t xml:space="preserve">• несанкционированный доступ к серверам, базам данных или административным панелям;</w:t>
      </w:r>
    </w:p>
    <w:p>
      <w:pPr>
        <w:pStyle w:val="Normal"/>
        <w:ind w:left="360" w:hanging="180"/>
      </w:pPr>
      <w:r>
        <w:t xml:space="preserve">• компрометация учётной записи (раскрытие пароля, кража токена);</w:t>
      </w:r>
    </w:p>
    <w:p>
      <w:pPr>
        <w:pStyle w:val="Normal"/>
        <w:ind w:left="360" w:hanging="180"/>
      </w:pPr>
      <w:r>
        <w:t xml:space="preserve">• вредоносное программное обеспечение на устройствах или серверах;</w:t>
      </w:r>
    </w:p>
    <w:p>
      <w:pPr>
        <w:pStyle w:val="Normal"/>
        <w:ind w:left="360" w:hanging="180"/>
      </w:pPr>
      <w:r>
        <w:t xml:space="preserve">• утечка персональных данных или иной конфиденциальной информации;</w:t>
      </w:r>
    </w:p>
    <w:p>
      <w:pPr>
        <w:pStyle w:val="Normal"/>
        <w:ind w:left="360" w:hanging="180"/>
      </w:pPr>
      <w:r>
        <w:t xml:space="preserve">• подозрение на компрометацию данных платёжных карт пользователей;</w:t>
      </w:r>
    </w:p>
    <w:p>
      <w:pPr>
        <w:pStyle w:val="Normal"/>
        <w:ind w:left="360" w:hanging="180"/>
      </w:pPr>
      <w:r>
        <w:t xml:space="preserve">• DDoS-атаки и нарушение доступности сервиса;</w:t>
      </w:r>
    </w:p>
    <w:p>
      <w:pPr>
        <w:pStyle w:val="Normal"/>
        <w:ind w:left="360" w:hanging="180"/>
      </w:pPr>
      <w:r>
        <w:t xml:space="preserve">• фишинговые атаки на работников или пользователей;</w:t>
      </w:r>
    </w:p>
    <w:p>
      <w:pPr>
        <w:pStyle w:val="Normal"/>
        <w:ind w:left="360" w:hanging="180"/>
      </w:pPr>
      <w:r>
        <w:t xml:space="preserve">• обнаружение в исходном коде или конфигурациях ключей, паролей, учётных данных;</w:t>
      </w:r>
    </w:p>
    <w:p>
      <w:pPr>
        <w:pStyle w:val="Normal"/>
        <w:ind w:left="360" w:hanging="180"/>
      </w:pPr>
      <w:r>
        <w:t xml:space="preserve">• обнаружение вмешательства в платёжные страницы (несанкционированный JavaScript, изменения форм);</w:t>
      </w:r>
    </w:p>
    <w:p>
      <w:pPr>
        <w:pStyle w:val="Normal"/>
        <w:ind w:left="360" w:hanging="180"/>
      </w:pPr>
      <w:r>
        <w:t xml:space="preserve">• инциденты у поставщиков услуг (TPSP), затрагивающие инфраструктуру Компании.</w:t>
      </w:r>
    </w:p>
    <w:p>
      <w:pPr>
        <w:pStyle w:val="Heading1"/>
      </w:pPr>
      <w:r>
        <w:t xml:space="preserve">6\. Команда реагирования</w:t>
      </w:r>
    </w:p>
    <w:p>
      <w:pPr>
        <w:pStyle w:val="Normal"/>
      </w:pPr>
      <w:r>
        <w:t xml:space="preserve">Команда реагирования (IRT) формируется на постоянной основе. Роли в команде возлагаются приказом директора на работников Общества; в настоящем Плане указывается только роль, без фамилий. Состав команды:</w:t>
      </w:r>
    </w:p>
    <w:p>
      <w:pPr>
        <w:pStyle w:val="Normal"/>
      </w:pPr>
      <w:r>
        <w:rPr>
          <w:b/>
        </w:rPr>
        <w:t xml:space="preserve">Роль</w:t>
      </w:r>
    </w:p>
    <w:p>
      <w:pPr>
        <w:pStyle w:val="Normal"/>
      </w:pPr>
      <w:r>
        <w:rPr>
          <w:b/>
        </w:rPr>
        <w:t xml:space="preserve">Обязанности</w:t>
      </w:r>
    </w:p>
    <w:p>
      <w:pPr>
        <w:pStyle w:val="Normal"/>
      </w:pPr>
      <w:r>
        <w:rPr>
          <w:b/>
        </w:rPr>
        <w:t xml:space="preserve">Назначение</w:t>
      </w:r>
    </w:p>
    <w:p>
      <w:pPr>
        <w:pStyle w:val="Normal"/>
      </w:pPr>
      <w:r>
        <w:t xml:space="preserve">Руководитель команды реагирования на инциденты</w:t>
      </w:r>
    </w:p>
    <w:p>
      <w:pPr>
        <w:pStyle w:val="Normal"/>
      </w:pPr>
      <w:r>
        <w:t xml:space="preserve">Общая координация реагирования; ведение хода инцидента; эскалация директору Общества; направление уведомлений внешним сторонам по решению директора.</w:t>
      </w:r>
    </w:p>
    <w:p>
      <w:pPr>
        <w:pStyle w:val="Normal"/>
      </w:pPr>
      <w:r>
        <w:t xml:space="preserve">Возлагается приказом директора на работника Общества</w:t>
      </w:r>
    </w:p>
    <w:p>
      <w:pPr>
        <w:pStyle w:val="Normal"/>
      </w:pPr>
      <w:r>
        <w:t xml:space="preserve">Ответственный за информационную безопасность</w:t>
      </w:r>
    </w:p>
    <w:p>
      <w:pPr>
        <w:pStyle w:val="Normal"/>
      </w:pPr>
      <w:r>
        <w:t xml:space="preserve">Приём сообщений об инцидентах; технический анализ; локализация и устранение угрозы; ведение журнала инцидентов; уведомление руководителя команды реагирования.</w:t>
      </w:r>
    </w:p>
    <w:p>
      <w:pPr>
        <w:pStyle w:val="Normal"/>
      </w:pPr>
      <w:r>
        <w:t xml:space="preserve">Возлагается приказом директора на работника Общества</w:t>
      </w:r>
    </w:p>
    <w:p>
      <w:pPr>
        <w:pStyle w:val="Normal"/>
      </w:pPr>
      <w:r>
        <w:t xml:space="preserve">Администратор инфраструктуры</w:t>
      </w:r>
    </w:p>
    <w:p>
      <w:pPr>
        <w:pStyle w:val="Normal"/>
      </w:pPr>
      <w:r>
        <w:t xml:space="preserve">Работа с инфраструктурой, серверами, базами данных, сетью; изоляция затронутых систем; восстановление систем.</w:t>
      </w:r>
    </w:p>
    <w:p>
      <w:pPr>
        <w:pStyle w:val="Normal"/>
      </w:pPr>
      <w:r>
        <w:t xml:space="preserve">Возлагается приказом директора на работника Общества</w:t>
      </w:r>
    </w:p>
    <w:p>
      <w:pPr>
        <w:pStyle w:val="Normal"/>
      </w:pPr>
      <w:r>
        <w:t xml:space="preserve">Ответственный за обработку персональных данных</w:t>
      </w:r>
    </w:p>
    <w:p>
      <w:pPr>
        <w:pStyle w:val="Normal"/>
      </w:pPr>
      <w:r>
        <w:t xml:space="preserve">Оценка правовых последствий в части персональных данных; подготовка уведомлений уполномоченного государственного органа и затронутых пользователей; при необходимости привлекается внешний юридический консультант.</w:t>
      </w:r>
    </w:p>
    <w:p>
      <w:pPr>
        <w:pStyle w:val="Normal"/>
      </w:pPr>
      <w:r>
        <w:t xml:space="preserve">Возлагается приказом директора на работника Общества</w:t>
      </w:r>
    </w:p>
    <w:p>
      <w:pPr>
        <w:pStyle w:val="Normal"/>
      </w:pPr>
      <w:r>
        <w:t xml:space="preserve">Ответственный за работу с поставщиками услуг</w:t>
      </w:r>
    </w:p>
    <w:p>
      <w:pPr>
        <w:pStyle w:val="Normal"/>
      </w:pPr>
      <w:r>
        <w:t xml:space="preserve">Взаимодействие с поставщиками услуг (TPSP) в ходе инцидента; направление им уведомлений.</w:t>
      </w:r>
    </w:p>
    <w:p>
      <w:pPr>
        <w:pStyle w:val="Normal"/>
      </w:pPr>
      <w:r>
        <w:t xml:space="preserve">Возлагается приказом директора на работника Общества</w:t>
      </w:r>
    </w:p>
    <w:p>
      <w:pPr>
        <w:pStyle w:val="Normal"/>
      </w:pPr>
      <w:r>
        <w:t xml:space="preserve">Директор Общества утверждает настоящий План, принимает решения об эскалации и об уведомлении внешних сторон. Директор не совмещает роль руководителя команды реагирования на инциденты.</w:t>
      </w:r>
    </w:p>
    <w:p>
      <w:pPr>
        <w:pStyle w:val="Normal"/>
      </w:pPr>
      <w:r>
        <w:t xml:space="preserve">Контактная информация команды:</w:t>
      </w:r>
    </w:p>
    <w:p>
      <w:pPr>
        <w:pStyle w:val="Normal"/>
        <w:ind w:left="360" w:hanging="180"/>
      </w:pPr>
      <w:r>
        <w:t xml:space="preserve">• «Горячая линия» по инцидентам: security@safelaw.ai, телефон +998 90 590 59 00;</w:t>
      </w:r>
    </w:p>
    <w:p>
      <w:pPr>
        <w:pStyle w:val="Normal"/>
        <w:ind w:left="360" w:hanging="180"/>
      </w:pPr>
      <w:r>
        <w:t xml:space="preserve">• Эскалация директору Общества: через адрес info@safelaw.ai с пометкой «Эскалация» и по телефону +998 90 590 59 00;</w:t>
      </w:r>
    </w:p>
    <w:p>
      <w:pPr>
        <w:pStyle w:val="Normal"/>
        <w:ind w:left="360" w:hanging="180"/>
      </w:pPr>
      <w:r>
        <w:t xml:space="preserve">• Альтернативный канал связи: внутренний мессенджер Компании.</w:t>
      </w:r>
    </w:p>
    <w:p>
      <w:pPr>
        <w:pStyle w:val="Normal"/>
      </w:pPr>
      <w:r>
        <w:t xml:space="preserve">Команда реагирования работает в режиме 24/7. Ответственные лица обеспечивают доступность по указанным каналам круглосуточно либо назначают замещающих лиц на период отсутствия.</w:t>
      </w:r>
    </w:p>
    <w:p>
      <w:pPr>
        <w:pStyle w:val="Heading1"/>
      </w:pPr>
      <w:r>
        <w:t xml:space="preserve">7\. Этапы реагирования на инцидент</w:t>
      </w:r>
    </w:p>
    <w:p>
      <w:pPr>
        <w:pStyle w:val="Heading2"/>
      </w:pPr>
      <w:r>
        <w:t xml:space="preserve">7.1. Подготовка</w:t>
      </w:r>
    </w:p>
    <w:p>
      <w:pPr>
        <w:pStyle w:val="Normal"/>
      </w:pPr>
      <w:r>
        <w:t xml:space="preserve">Этап подготовки осуществляется на постоянной основе и включает:</w:t>
      </w:r>
    </w:p>
    <w:p>
      <w:pPr>
        <w:pStyle w:val="Normal"/>
        <w:ind w:left="360" w:hanging="180"/>
      </w:pPr>
      <w:r>
        <w:t xml:space="preserve">• поддержание актуальности настоящего Плана;</w:t>
      </w:r>
    </w:p>
    <w:p>
      <w:pPr>
        <w:pStyle w:val="Normal"/>
        <w:ind w:left="360" w:hanging="180"/>
      </w:pPr>
      <w:r>
        <w:t xml:space="preserve">• проведение обучения работников и членов команды реагирования;</w:t>
      </w:r>
    </w:p>
    <w:p>
      <w:pPr>
        <w:pStyle w:val="Normal"/>
        <w:ind w:left="360" w:hanging="180"/>
      </w:pPr>
      <w:r>
        <w:t xml:space="preserve">• обеспечение технических средств для мониторинга, журналирования и реагирования;</w:t>
      </w:r>
    </w:p>
    <w:p>
      <w:pPr>
        <w:pStyle w:val="Normal"/>
        <w:ind w:left="360" w:hanging="180"/>
      </w:pPr>
      <w:r>
        <w:t xml:space="preserve">• ведение реестра контактов внешних сторон (платёжные провайдеры FreedomPay, Click и Payme, поставщики услуг, юридические консультанты);</w:t>
      </w:r>
    </w:p>
    <w:p>
      <w:pPr>
        <w:pStyle w:val="Normal"/>
        <w:ind w:left="360" w:hanging="180"/>
      </w:pPr>
      <w:r>
        <w:t xml:space="preserve">• тестирование Плана не реже одного раза в 12 месяцев.</w:t>
      </w:r>
    </w:p>
    <w:p>
      <w:pPr>
        <w:pStyle w:val="Heading2"/>
      </w:pPr>
      <w:r>
        <w:t xml:space="preserve">7.2. Обнаружение и анализ</w:t>
      </w:r>
    </w:p>
    <w:p>
      <w:pPr>
        <w:pStyle w:val="Normal"/>
      </w:pPr>
      <w:r>
        <w:t xml:space="preserve">Источники обнаружения инцидентов:</w:t>
      </w:r>
    </w:p>
    <w:p>
      <w:pPr>
        <w:pStyle w:val="Normal"/>
        <w:ind w:left="360" w:hanging="180"/>
      </w:pPr>
      <w:r>
        <w:t xml:space="preserve">• сообщения работников и пользователей;</w:t>
      </w:r>
    </w:p>
    <w:p>
      <w:pPr>
        <w:pStyle w:val="Normal"/>
        <w:ind w:left="360" w:hanging="180"/>
      </w:pPr>
      <w:r>
        <w:t xml:space="preserve">• системы мониторинга, журналирования, антивирусные системы, межсетевой экран сервера;</w:t>
      </w:r>
    </w:p>
    <w:p>
      <w:pPr>
        <w:pStyle w:val="Normal"/>
        <w:ind w:left="360" w:hanging="180"/>
      </w:pPr>
      <w:r>
        <w:t xml:space="preserve">• уведомления от поставщиков услуг (платёжные провайдеры FreedomPay, Click и Payme, хостинг-провайдер);</w:t>
      </w:r>
    </w:p>
    <w:p>
      <w:pPr>
        <w:pStyle w:val="Normal"/>
        <w:ind w:left="360" w:hanging="180"/>
      </w:pPr>
      <w:r>
        <w:t xml:space="preserve">• уведомления от платёжных систем и регуляторов;</w:t>
      </w:r>
    </w:p>
    <w:p>
      <w:pPr>
        <w:pStyle w:val="Normal"/>
        <w:ind w:left="360" w:hanging="180"/>
      </w:pPr>
      <w:r>
        <w:t xml:space="preserve">• публикации в средствах массовой информации и базах данных уязвимостей.</w:t>
      </w:r>
    </w:p>
    <w:p>
      <w:pPr>
        <w:pStyle w:val="Normal"/>
      </w:pPr>
      <w:r>
        <w:t xml:space="preserve">Действия на этапе обнаружения и анализа:</w:t>
      </w:r>
    </w:p>
    <w:p>
      <w:pPr>
        <w:pStyle w:val="Normal"/>
        <w:ind w:left="360" w:hanging="180"/>
      </w:pPr>
      <w:r>
        <w:t xml:space="preserve">• Лицо, обнаружившее событие, незамедлительно (в течение 30 минут с момента обнаружения) сообщает ответственному за информационную безопасность по адресу security@safelaw.ai или по телефону +998 90 590 59 00.</w:t>
      </w:r>
    </w:p>
    <w:p>
      <w:pPr>
        <w:pStyle w:val="Normal"/>
        <w:ind w:left="360" w:hanging="180"/>
      </w:pPr>
      <w:r>
        <w:t xml:space="preserve">• Ответственный за информационную безопасность открывает запись об инциденте в журнале инцидентов с указанием даты, времени, источника, описания, предварительной классификации.</w:t>
      </w:r>
    </w:p>
    <w:p>
      <w:pPr>
        <w:pStyle w:val="Normal"/>
        <w:ind w:left="360" w:hanging="180"/>
      </w:pPr>
      <w:r>
        <w:t xml:space="preserve">• Производится первичный анализ: подтверждение факта инцидента, оценка масштаба, классификация по уровню критичности.</w:t>
      </w:r>
    </w:p>
    <w:p>
      <w:pPr>
        <w:pStyle w:val="Normal"/>
        <w:ind w:left="360" w:hanging="180"/>
      </w:pPr>
      <w:r>
        <w:t xml:space="preserve">• Для инцидентов уровня P1 и P2 ответственный за информационную безопасность уведомляет руководителя команды реагирования на инциденты в течение 1 часа с момента подтверждения инцидента.</w:t>
      </w:r>
    </w:p>
    <w:p>
      <w:pPr>
        <w:pStyle w:val="Normal"/>
        <w:ind w:left="360" w:hanging="180"/>
      </w:pPr>
      <w:r>
        <w:t xml:space="preserve">• Руководитель команды реагирования на инциденты эскалирует инциденты уровня P1 и P2 директору Общества; решения об уведомлении внешних сторон принимает директор.</w:t>
      </w:r>
    </w:p>
    <w:p>
      <w:pPr>
        <w:pStyle w:val="Heading2"/>
      </w:pPr>
      <w:r>
        <w:t xml:space="preserve">7.3. Сдерживание</w:t>
      </w:r>
    </w:p>
    <w:p>
      <w:pPr>
        <w:pStyle w:val="Normal"/>
      </w:pPr>
      <w:r>
        <w:t xml:space="preserve">Цель этапа — ограничить распространение инцидента и минимизировать ущерб. Действия:</w:t>
      </w:r>
    </w:p>
    <w:p>
      <w:pPr>
        <w:pStyle w:val="Normal"/>
        <w:ind w:left="360" w:hanging="180"/>
      </w:pPr>
      <w:r>
        <w:t xml:space="preserve">• изоляция скомпрометированных систем от сети (при необходимости);</w:t>
      </w:r>
    </w:p>
    <w:p>
      <w:pPr>
        <w:pStyle w:val="Normal"/>
        <w:ind w:left="360" w:hanging="180"/>
      </w:pPr>
      <w:r>
        <w:t xml:space="preserve">• блокировка скомпрометированных учётных записей;</w:t>
      </w:r>
    </w:p>
    <w:p>
      <w:pPr>
        <w:pStyle w:val="Normal"/>
        <w:ind w:left="360" w:hanging="180"/>
      </w:pPr>
      <w:r>
        <w:t xml:space="preserve">• ротация паролей, ключей API, токенов доступа;</w:t>
      </w:r>
    </w:p>
    <w:p>
      <w:pPr>
        <w:pStyle w:val="Normal"/>
        <w:ind w:left="360" w:hanging="180"/>
      </w:pPr>
      <w:r>
        <w:t xml:space="preserve">• включение дополнительных правил защиты в межсетевом экране сервера и на веб-сервере;</w:t>
      </w:r>
    </w:p>
    <w:p>
      <w:pPr>
        <w:pStyle w:val="Normal"/>
        <w:ind w:left="360" w:hanging="180"/>
      </w:pPr>
      <w:r>
        <w:t xml:space="preserve">• в случае подозрения на компрометацию платёжных данных — приостановка соответствующих платёжных операций по согласованию с платёжным провайдером (FreedomPay).</w:t>
      </w:r>
    </w:p>
    <w:p>
      <w:pPr>
        <w:pStyle w:val="Normal"/>
      </w:pPr>
      <w:r>
        <w:t xml:space="preserve">На этапе сдерживания обязательно сохранение доказательств для последующего анализа: образы оперативной памяти, копии журналов, артефакты файловой системы.</w:t>
      </w:r>
    </w:p>
    <w:p>
      <w:pPr>
        <w:pStyle w:val="Heading2"/>
      </w:pPr>
      <w:r>
        <w:t xml:space="preserve">7.4. Устранение</w:t>
      </w:r>
    </w:p>
    <w:p>
      <w:pPr>
        <w:pStyle w:val="Normal"/>
      </w:pPr>
      <w:r>
        <w:t xml:space="preserve">Действия по устранению причин инцидента:</w:t>
      </w:r>
    </w:p>
    <w:p>
      <w:pPr>
        <w:pStyle w:val="Normal"/>
        <w:ind w:left="360" w:hanging="180"/>
      </w:pPr>
      <w:r>
        <w:t xml:space="preserve">• удаление вредоносного программного обеспечения;</w:t>
      </w:r>
    </w:p>
    <w:p>
      <w:pPr>
        <w:pStyle w:val="Normal"/>
        <w:ind w:left="360" w:hanging="180"/>
      </w:pPr>
      <w:r>
        <w:t xml:space="preserve">• устранение использованных злоумышленником уязвимостей (установка обновлений, изменение конфигурации);</w:t>
      </w:r>
    </w:p>
    <w:p>
      <w:pPr>
        <w:pStyle w:val="Normal"/>
        <w:ind w:left="360" w:hanging="180"/>
      </w:pPr>
      <w:r>
        <w:t xml:space="preserve">• укрепление средств защиты в затронутых системах;</w:t>
      </w:r>
    </w:p>
    <w:p>
      <w:pPr>
        <w:pStyle w:val="Normal"/>
        <w:ind w:left="360" w:hanging="180"/>
      </w:pPr>
      <w:r>
        <w:t xml:space="preserve">• при необходимости — переустановка скомпрометированных систем «с нуля».</w:t>
      </w:r>
    </w:p>
    <w:p>
      <w:pPr>
        <w:pStyle w:val="Heading2"/>
      </w:pPr>
      <w:r>
        <w:t xml:space="preserve">7.5. Восстановление</w:t>
      </w:r>
    </w:p>
    <w:p>
      <w:pPr>
        <w:pStyle w:val="Normal"/>
      </w:pPr>
      <w:r>
        <w:t xml:space="preserve">Действия по восстановлению нормальной работы:</w:t>
      </w:r>
    </w:p>
    <w:p>
      <w:pPr>
        <w:pStyle w:val="Normal"/>
        <w:ind w:left="360" w:hanging="180"/>
      </w:pPr>
      <w:r>
        <w:t xml:space="preserve">• восстановление систем из доверенных резервных копий или эталонных образов;</w:t>
      </w:r>
    </w:p>
    <w:p>
      <w:pPr>
        <w:pStyle w:val="Normal"/>
        <w:ind w:left="360" w:hanging="180"/>
      </w:pPr>
      <w:r>
        <w:t xml:space="preserve">• поэтапный возврат восстановленных систем в эксплуатацию с усиленным мониторингом;</w:t>
      </w:r>
    </w:p>
    <w:p>
      <w:pPr>
        <w:pStyle w:val="Normal"/>
        <w:ind w:left="360" w:hanging="180"/>
      </w:pPr>
      <w:r>
        <w:t xml:space="preserve">• проверка корректности работы систем и отсутствия признаков повторной компрометации;</w:t>
      </w:r>
    </w:p>
    <w:p>
      <w:pPr>
        <w:pStyle w:val="Normal"/>
        <w:ind w:left="360" w:hanging="180"/>
      </w:pPr>
      <w:r>
        <w:t xml:space="preserve">• уведомление пользователей и партнёров о восстановлении работы (при необходимости).</w:t>
      </w:r>
    </w:p>
    <w:p>
      <w:pPr>
        <w:pStyle w:val="Heading2"/>
      </w:pPr>
      <w:r>
        <w:t xml:space="preserve">7.6. Анализ результатов и извлечение уроков</w:t>
      </w:r>
    </w:p>
    <w:p>
      <w:pPr>
        <w:pStyle w:val="Normal"/>
      </w:pPr>
      <w:r>
        <w:t xml:space="preserve">В течение 10 рабочих дней после закрытия инцидента уровня P1 или P2 проводится постмортем-анализ с участием команды реагирования и руководства. Результаты оформляются документально и должны включать:</w:t>
      </w:r>
    </w:p>
    <w:p>
      <w:pPr>
        <w:pStyle w:val="Normal"/>
        <w:ind w:left="360" w:hanging="180"/>
      </w:pPr>
      <w:r>
        <w:t xml:space="preserve">• хронологию инцидента;</w:t>
      </w:r>
    </w:p>
    <w:p>
      <w:pPr>
        <w:pStyle w:val="Normal"/>
        <w:ind w:left="360" w:hanging="180"/>
      </w:pPr>
      <w:r>
        <w:t xml:space="preserve">• первопричину инцидента;</w:t>
      </w:r>
    </w:p>
    <w:p>
      <w:pPr>
        <w:pStyle w:val="Normal"/>
        <w:ind w:left="360" w:hanging="180"/>
      </w:pPr>
      <w:r>
        <w:t xml:space="preserve">• оценку эффективности реагирования;</w:t>
      </w:r>
    </w:p>
    <w:p>
      <w:pPr>
        <w:pStyle w:val="Normal"/>
        <w:ind w:left="360" w:hanging="180"/>
      </w:pPr>
      <w:r>
        <w:t xml:space="preserve">• выявленные пробелы в защите и Плане;</w:t>
      </w:r>
    </w:p>
    <w:p>
      <w:pPr>
        <w:pStyle w:val="Normal"/>
        <w:ind w:left="360" w:hanging="180"/>
      </w:pPr>
      <w:r>
        <w:t xml:space="preserve">• конкретные меры по предотвращению повторения, ответственные лица и сроки;</w:t>
      </w:r>
    </w:p>
    <w:p>
      <w:pPr>
        <w:pStyle w:val="Normal"/>
        <w:ind w:left="360" w:hanging="180"/>
      </w:pPr>
      <w:r>
        <w:t xml:space="preserve">• обновления Плана и связанных политик.</w:t>
      </w:r>
    </w:p>
    <w:p>
      <w:pPr>
        <w:pStyle w:val="Heading1"/>
      </w:pPr>
      <w:r>
        <w:t xml:space="preserve">8\. Уведомление внешних сторон</w:t>
      </w:r>
    </w:p>
    <w:p>
      <w:pPr>
        <w:pStyle w:val="Heading2"/>
      </w:pPr>
      <w:r>
        <w:t xml:space="preserve">8.1. Уведомление платёжного провайдера</w:t>
      </w:r>
    </w:p>
    <w:p>
      <w:pPr>
        <w:pStyle w:val="Normal"/>
      </w:pPr>
      <w:r>
        <w:t xml:space="preserve">При выявлении инцидентов уровня P1, связанных с потенциальной компрометацией данных платёжных карт, либо инцидентов, затрагивающих платёжные операции, Компания уведомляет платёжного провайдера (FreedomPay) в течение 24 часов с момента подтверждения инцидента. Уведомление направляется по официальным каналам, согласованным договором с платёжным провайдером, и должно содержать:</w:t>
      </w:r>
    </w:p>
    <w:p>
      <w:pPr>
        <w:pStyle w:val="Normal"/>
        <w:ind w:left="360" w:hanging="180"/>
      </w:pPr>
      <w:r>
        <w:t xml:space="preserve">• дату и время инцидента;</w:t>
      </w:r>
    </w:p>
    <w:p>
      <w:pPr>
        <w:pStyle w:val="Normal"/>
        <w:ind w:left="360" w:hanging="180"/>
      </w:pPr>
      <w:r>
        <w:t xml:space="preserve">• описание инцидента и его потенциального воздействия;</w:t>
      </w:r>
    </w:p>
    <w:p>
      <w:pPr>
        <w:pStyle w:val="Normal"/>
        <w:ind w:left="360" w:hanging="180"/>
      </w:pPr>
      <w:r>
        <w:t xml:space="preserve">• принятые меры сдерживания и устранения;</w:t>
      </w:r>
    </w:p>
    <w:p>
      <w:pPr>
        <w:pStyle w:val="Normal"/>
        <w:ind w:left="360" w:hanging="180"/>
      </w:pPr>
      <w:r>
        <w:t xml:space="preserve">• планируемые сроки устранения и восстановления;</w:t>
      </w:r>
    </w:p>
    <w:p>
      <w:pPr>
        <w:pStyle w:val="Normal"/>
        <w:ind w:left="360" w:hanging="180"/>
      </w:pPr>
      <w:r>
        <w:t xml:space="preserve">• контактное лицо со стороны Компании.</w:t>
      </w:r>
    </w:p>
    <w:p>
      <w:pPr>
        <w:pStyle w:val="Heading2"/>
      </w:pPr>
      <w:r>
        <w:t xml:space="preserve">8.2. Уведомление платёжных систем</w:t>
      </w:r>
    </w:p>
    <w:p>
      <w:pPr>
        <w:pStyle w:val="Normal"/>
      </w:pPr>
      <w:r>
        <w:t xml:space="preserve">При подтверждённой компрометации данных платёжных карт Компания направляет уведомление платёжному провайдеру, через которого проходили затронутые операции (FreedomPay, Click или Payme), и операторам национальной платёжной системы — Uzcard и Humo — в порядке и сроки, установленные правилами этих платёжных систем. Компания принимает оплату картами Uzcard и Humo через FreedomPay, а также через платёжные сервисы Click и Payme.</w:t>
      </w:r>
    </w:p>
    <w:p>
      <w:pPr>
        <w:pStyle w:val="Heading2"/>
      </w:pPr>
      <w:r>
        <w:t xml:space="preserve">8.3. Уведомление регуляторов</w:t>
      </w:r>
    </w:p>
    <w:p>
      <w:pPr>
        <w:pStyle w:val="Normal"/>
      </w:pPr>
      <w:r>
        <w:t xml:space="preserve">При утечке персональных данных пользователей Компания уведомляет уполномоченный государственный орган в области персональных данных Республики Узбекистан в порядке и сроки, установленные Законом РУз № ЗРУ-547 «О персональных данных».</w:t>
      </w:r>
    </w:p>
    <w:p>
      <w:pPr>
        <w:pStyle w:val="Heading2"/>
      </w:pPr>
      <w:r>
        <w:t xml:space="preserve">8.4. Уведомление затронутых пользователей</w:t>
      </w:r>
    </w:p>
    <w:p>
      <w:pPr>
        <w:pStyle w:val="Normal"/>
      </w:pPr>
      <w:r>
        <w:t xml:space="preserve">При утечке персональных данных, затрагивающей пользователей сервиса SafeLaw, Компания направляет уведомление затронутым пользователям не позднее 72 часов с момента подтверждения утечки. Уведомление должно содержать:</w:t>
      </w:r>
    </w:p>
    <w:p>
      <w:pPr>
        <w:pStyle w:val="Normal"/>
        <w:ind w:left="360" w:hanging="180"/>
      </w:pPr>
      <w:r>
        <w:t xml:space="preserve">• описание характера утечки;</w:t>
      </w:r>
    </w:p>
    <w:p>
      <w:pPr>
        <w:pStyle w:val="Normal"/>
        <w:ind w:left="360" w:hanging="180"/>
      </w:pPr>
      <w:r>
        <w:t xml:space="preserve">• категории и приблизительный объём затронутых данных;</w:t>
      </w:r>
    </w:p>
    <w:p>
      <w:pPr>
        <w:pStyle w:val="Normal"/>
        <w:ind w:left="360" w:hanging="180"/>
      </w:pPr>
      <w:r>
        <w:t xml:space="preserve">• вероятные последствия для пользователя;</w:t>
      </w:r>
    </w:p>
    <w:p>
      <w:pPr>
        <w:pStyle w:val="Normal"/>
        <w:ind w:left="360" w:hanging="180"/>
      </w:pPr>
      <w:r>
        <w:t xml:space="preserve">• меры, принятые Компанией для устранения утечки;</w:t>
      </w:r>
    </w:p>
    <w:p>
      <w:pPr>
        <w:pStyle w:val="Normal"/>
        <w:ind w:left="360" w:hanging="180"/>
      </w:pPr>
      <w:r>
        <w:t xml:space="preserve">• рекомендации пользователю по защите его учётной записи;</w:t>
      </w:r>
    </w:p>
    <w:p>
      <w:pPr>
        <w:pStyle w:val="Normal"/>
        <w:ind w:left="360" w:hanging="180"/>
      </w:pPr>
      <w:r>
        <w:t xml:space="preserve">• контактные данные для обращений (security@safelaw.ai).</w:t>
      </w:r>
    </w:p>
    <w:p>
      <w:pPr>
        <w:pStyle w:val="Heading2"/>
      </w:pPr>
      <w:r>
        <w:t xml:space="preserve">8.5. Уведомление поставщиков услуг</w:t>
      </w:r>
    </w:p>
    <w:p>
      <w:pPr>
        <w:pStyle w:val="Normal"/>
      </w:pPr>
      <w:r>
        <w:t xml:space="preserve">При инцидентах, затрагивающих или потенциально затрагивающих инфраструктуру поставщиков услуг (Netcup, Google Workspace, провайдеры AI и др.), Компания уведомляет соответствующих поставщиков в установленные ими сроки. Уведомления направляет ответственный за работу с поставщиками услуг.</w:t>
      </w:r>
    </w:p>
    <w:p>
      <w:pPr>
        <w:pStyle w:val="Heading1"/>
      </w:pPr>
      <w:r>
        <w:t xml:space="preserve">9\. Журнал инцидентов</w:t>
      </w:r>
    </w:p>
    <w:p>
      <w:pPr>
        <w:pStyle w:val="Normal"/>
      </w:pPr>
      <w:r>
        <w:t xml:space="preserve">Все события и инциденты информационной безопасности фиксируются в журнале инцидентов. По каждому инциденту фиксируются следующие сведения:</w:t>
      </w:r>
    </w:p>
    <w:p>
      <w:pPr>
        <w:pStyle w:val="Normal"/>
        <w:ind w:left="360" w:hanging="180"/>
      </w:pPr>
      <w:r>
        <w:t xml:space="preserve">• уникальный идентификатор инцидента;</w:t>
      </w:r>
    </w:p>
    <w:p>
      <w:pPr>
        <w:pStyle w:val="Normal"/>
        <w:ind w:left="360" w:hanging="180"/>
      </w:pPr>
      <w:r>
        <w:t xml:space="preserve">• дата и время выявления, дата и время начала инцидента (если известно);</w:t>
      </w:r>
    </w:p>
    <w:p>
      <w:pPr>
        <w:pStyle w:val="Normal"/>
        <w:ind w:left="360" w:hanging="180"/>
      </w:pPr>
      <w:r>
        <w:t xml:space="preserve">• источник обнаружения;</w:t>
      </w:r>
    </w:p>
    <w:p>
      <w:pPr>
        <w:pStyle w:val="Normal"/>
        <w:ind w:left="360" w:hanging="180"/>
      </w:pPr>
      <w:r>
        <w:t xml:space="preserve">• уровень критичности;</w:t>
      </w:r>
    </w:p>
    <w:p>
      <w:pPr>
        <w:pStyle w:val="Normal"/>
        <w:ind w:left="360" w:hanging="180"/>
      </w:pPr>
      <w:r>
        <w:t xml:space="preserve">• описание инцидента;</w:t>
      </w:r>
    </w:p>
    <w:p>
      <w:pPr>
        <w:pStyle w:val="Normal"/>
        <w:ind w:left="360" w:hanging="180"/>
      </w:pPr>
      <w:r>
        <w:t xml:space="preserve">• затронутые системы, данные, пользователи;</w:t>
      </w:r>
    </w:p>
    <w:p>
      <w:pPr>
        <w:pStyle w:val="Normal"/>
        <w:ind w:left="360" w:hanging="180"/>
      </w:pPr>
      <w:r>
        <w:t xml:space="preserve">• предпринятые действия с указанием дат, времени и ответственных лиц;</w:t>
      </w:r>
    </w:p>
    <w:p>
      <w:pPr>
        <w:pStyle w:val="Normal"/>
        <w:ind w:left="360" w:hanging="180"/>
      </w:pPr>
      <w:r>
        <w:t xml:space="preserve">• уведомлённые внешние стороны (с указанием даты и канала уведомления);</w:t>
      </w:r>
    </w:p>
    <w:p>
      <w:pPr>
        <w:pStyle w:val="Normal"/>
        <w:ind w:left="360" w:hanging="180"/>
      </w:pPr>
      <w:r>
        <w:t xml:space="preserve">• результаты постмортем-анализа и принятые меры по предотвращению повторения;</w:t>
      </w:r>
    </w:p>
    <w:p>
      <w:pPr>
        <w:pStyle w:val="Normal"/>
        <w:ind w:left="360" w:hanging="180"/>
      </w:pPr>
      <w:r>
        <w:t xml:space="preserve">• дата закрытия инцидента.</w:t>
      </w:r>
    </w:p>
    <w:p>
      <w:pPr>
        <w:pStyle w:val="Normal"/>
      </w:pPr>
      <w:r>
        <w:t xml:space="preserve">Журнал инцидентов хранится не менее 3 лет с момента закрытия инцидента.</w:t>
      </w:r>
    </w:p>
    <w:p>
      <w:pPr>
        <w:pStyle w:val="Heading1"/>
      </w:pPr>
      <w:r>
        <w:t xml:space="preserve">10\. Тестирование Плана</w:t>
      </w:r>
    </w:p>
    <w:p>
      <w:pPr>
        <w:pStyle w:val="Normal"/>
      </w:pPr>
      <w:r>
        <w:t xml:space="preserve">План реагирования проходит тестирование не реже одного раза в 12 месяцев. Формы тестирования:</w:t>
      </w:r>
    </w:p>
    <w:p>
      <w:pPr>
        <w:pStyle w:val="Normal"/>
        <w:ind w:left="360" w:hanging="180"/>
      </w:pPr>
      <w:r>
        <w:t xml:space="preserve">• настольные учения (tabletop exercises) — обсуждение действий команды по гипотетическим сценариям;</w:t>
      </w:r>
    </w:p>
    <w:p>
      <w:pPr>
        <w:pStyle w:val="Normal"/>
        <w:ind w:left="360" w:hanging="180"/>
      </w:pPr>
      <w:r>
        <w:t xml:space="preserve">• учебные тревоги — проверка доступности членов команды по каналам уведомления;</w:t>
      </w:r>
    </w:p>
    <w:p>
      <w:pPr>
        <w:pStyle w:val="Normal"/>
        <w:ind w:left="360" w:hanging="180"/>
      </w:pPr>
      <w:r>
        <w:t xml:space="preserve">• полное симулированное реагирование на инцидент.</w:t>
      </w:r>
    </w:p>
    <w:p>
      <w:pPr>
        <w:pStyle w:val="Normal"/>
      </w:pPr>
      <w:r>
        <w:t xml:space="preserve">По результатам тестирования составляется протокол, выявленные недостатки устраняются, План при необходимости обновляется.</w:t>
      </w:r>
    </w:p>
    <w:p>
      <w:pPr>
        <w:pStyle w:val="Heading1"/>
      </w:pPr>
      <w:r>
        <w:t xml:space="preserve">11\. Обучение</w:t>
      </w:r>
    </w:p>
    <w:p>
      <w:pPr>
        <w:pStyle w:val="Normal"/>
      </w:pPr>
      <w:r>
        <w:t xml:space="preserve">Члены команды реагирования проходят обучение действиям в соответствии с настоящим Планом не реже одного раза в 12 месяцев. Все работники Компании проходят инструктаж по порядку сообщения о подозрительной активности и инцидентах при приёме на работу и далее ежегодно.</w:t>
      </w:r>
    </w:p>
    <w:p>
      <w:pPr>
        <w:pStyle w:val="Heading1"/>
      </w:pPr>
      <w:r>
        <w:t xml:space="preserve">12\. Пересмотр Плана</w:t>
      </w:r>
    </w:p>
    <w:p>
      <w:pPr>
        <w:pStyle w:val="Normal"/>
      </w:pPr>
      <w:r>
        <w:t xml:space="preserve">Настоящий План пересматривается не реже одного раза в 12 месяцев, а также:</w:t>
      </w:r>
    </w:p>
    <w:p>
      <w:pPr>
        <w:pStyle w:val="Normal"/>
        <w:ind w:left="360" w:hanging="180"/>
      </w:pPr>
      <w:r>
        <w:t xml:space="preserve">• после каждого инцидента уровня P1 или P2;</w:t>
      </w:r>
    </w:p>
    <w:p>
      <w:pPr>
        <w:pStyle w:val="Normal"/>
        <w:ind w:left="360" w:hanging="180"/>
      </w:pPr>
      <w:r>
        <w:t xml:space="preserve">• при существенных изменениях информационной инфраструктуры Компании;</w:t>
      </w:r>
    </w:p>
    <w:p>
      <w:pPr>
        <w:pStyle w:val="Normal"/>
        <w:ind w:left="360" w:hanging="180"/>
      </w:pPr>
      <w:r>
        <w:t xml:space="preserve">• при изменении состава ключевых поставщиков услуг (TPSP);</w:t>
      </w:r>
    </w:p>
    <w:p>
      <w:pPr>
        <w:pStyle w:val="Normal"/>
        <w:ind w:left="360" w:hanging="180"/>
      </w:pPr>
      <w:r>
        <w:t xml:space="preserve">• при изменении нормативных требований или стандартов (PCI DSS, законодательство РУз).</w:t>
      </w:r>
    </w:p>
    <w:p>
      <w:pPr>
        <w:pStyle w:val="Heading1"/>
      </w:pPr>
      <w:r>
        <w:t xml:space="preserve">13\. Сведения о документе</w:t>
      </w:r>
    </w:p>
    <w:p>
      <w:pPr>
        <w:pStyle w:val="Normal"/>
      </w:pPr>
      <w:r>
        <w:rPr>
          <w:b/>
        </w:rPr>
        <w:t xml:space="preserve">Версия</w:t>
      </w:r>
    </w:p>
    <w:p>
      <w:pPr>
        <w:pStyle w:val="Normal"/>
      </w:pPr>
      <w:r>
        <w:rPr>
          <w:b/>
        </w:rPr>
        <w:t xml:space="preserve">Дата</w:t>
      </w:r>
    </w:p>
    <w:p>
      <w:pPr>
        <w:pStyle w:val="Normal"/>
      </w:pPr>
      <w:r>
        <w:rPr>
          <w:b/>
        </w:rPr>
        <w:t xml:space="preserve">Изменения</w:t>
      </w:r>
    </w:p>
    <w:p>
      <w:pPr>
        <w:pStyle w:val="Normal"/>
      </w:pPr>
      <w:r>
        <w:rPr>
          <w:b/>
        </w:rPr>
        <w:t xml:space="preserve">Утвердил</w:t>
      </w:r>
    </w:p>
    <w:p>
      <w:pPr>
        <w:pStyle w:val="Normal"/>
      </w:pPr>
      <w:r>
        <w:t xml:space="preserve">1.0</w:t>
      </w:r>
    </w:p>
    <w:p>
      <w:pPr>
        <w:pStyle w:val="Normal"/>
      </w:pPr>
      <w:r>
        <w:t xml:space="preserve">15.05.2026</w:t>
      </w:r>
    </w:p>
    <w:p>
      <w:pPr>
        <w:pStyle w:val="Normal"/>
      </w:pPr>
      <w:r>
        <w:t xml:space="preserve">Первичное утверждение документа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1.1</w:t>
      </w:r>
    </w:p>
    <w:p>
      <w:pPr>
        <w:pStyle w:val="Normal"/>
      </w:pPr>
      <w:r>
        <w:t xml:space="preserve">22.09.2026</w:t>
      </w:r>
    </w:p>
    <w:p>
      <w:pPr>
        <w:pStyle w:val="Normal"/>
      </w:pPr>
      <w:r>
        <w:t xml:space="preserve">Плановый пересмотр: состав ролей команды реагирования; разведение уведомляющей и уведомляемой сторон; контактные данные; реквизиты Общества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1.2</w:t>
      </w:r>
    </w:p>
    <w:p>
      <w:pPr>
        <w:pStyle w:val="Normal"/>
      </w:pPr>
      <w:r>
        <w:t xml:space="preserve">30.10.2026</w:t>
      </w:r>
    </w:p>
    <w:p>
      <w:pPr>
        <w:pStyle w:val="Normal"/>
      </w:pPr>
      <w:r>
        <w:t xml:space="preserve">Внеплановый пересмотр: платёжные провайдеры Click и Payme; адрес security@safelaw.ai для сообщений об инцидентах; актуализирован перечень мер защиты</w:t>
      </w:r>
    </w:p>
    <w:p>
      <w:pPr>
        <w:pStyle w:val="Normal"/>
      </w:pPr>
      <w:r>
        <w:t xml:space="preserve">Директор Общества</w:t>
      </w:r>
    </w:p>
    <w:p>
      <w:pPr>
        <w:pStyle w:val="Heading2"/>
      </w:pPr>
      <w:r>
        <w:t xml:space="preserve">Утверждение документа</w:t>
      </w:r>
    </w:p>
    <w:p>
      <w:pPr>
        <w:pStyle w:val="Normal"/>
      </w:pPr>
      <w:r>
        <w:t xml:space="preserve">Документ утверждён директором Общества и введён в действие с 15 мая 2026 года. Документ подлежит обязательному ознакомлению всеми работниками, подрядчиками и иными лицами, имеющими доступ к информационным активам Общества.</w:t>
      </w:r>
    </w:p>
    <w:sectPr>
      <w:pgSz w:w="11906" w:h="16838"/>
      <w:pgMar w:top="1134" w:right="907" w:bottom="1021" w:left="90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</w:docDefaults>
  <w:style w:type="paragraph" w:styleId="Title">
    <w:name w:val="Title"/>
    <w:pPr>
      <w:spacing w:before="0" w:after="200"/>
    </w:pPr>
    <w:rPr>
      <w:rFonts w:ascii="Calibri" w:hAnsi="Calibri"/>
      <w:sz w:val="34"/>
      <w:b/>
    </w:rPr>
  </w:style>
  <w:style w:type="paragraph" w:styleId="Heading1">
    <w:name w:val="heading 1"/>
    <w:pPr>
      <w:spacing w:before="280" w:after="120"/>
      <w:outlineLvl w:val="0"/>
    </w:pPr>
    <w:rPr>
      <w:rFonts w:ascii="Calibri" w:hAnsi="Calibri"/>
      <w:sz w:val="27"/>
      <w:b/>
    </w:rPr>
  </w:style>
  <w:style w:type="paragraph" w:styleId="Heading2">
    <w:name w:val="heading 2"/>
    <w:pPr>
      <w:spacing w:before="240" w:after="100"/>
      <w:outlineLvl w:val="1"/>
    </w:pPr>
    <w:rPr>
      <w:rFonts w:ascii="Calibri" w:hAnsi="Calibri"/>
      <w:sz w:val="23"/>
      <w:b/>
    </w:rPr>
  </w:style>
  <w:style w:type="paragraph" w:styleId="Heading3">
    <w:name w:val="heading 3"/>
    <w:pPr>
      <w:spacing w:before="200" w:after="80"/>
      <w:outlineLvl w:val="2"/>
    </w:pPr>
    <w:rPr>
      <w:rFonts w:ascii="Calibri" w:hAnsi="Calibri"/>
      <w:sz w:val="21"/>
      <w:b/>
    </w:rPr>
  </w:style>
  <w:style w:type="paragraph" w:styleId="Normal">
    <w:name w:val="Normal"/>
    <w:pPr>
      <w:spacing w:before="0" w:after="120"/>
    </w:pPr>
    <w:rPr>
      <w:rFonts w:ascii="Calibri" w:hAnsi="Calibri"/>
      <w:sz w:val="21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