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</w:rPr>
        <w:t xml:space="preserve">ООО «SELLAI»</w:t>
      </w:r>
    </w:p>
    <w:p>
      <w:pPr>
        <w:pStyle w:val="Normal"/>
      </w:pPr>
      <w:r>
        <w:t xml:space="preserve">Сервис SafeLaw (safelaw.ai)</w:t>
      </w:r>
    </w:p>
    <w:p>
      <w:pPr>
        <w:pStyle w:val="Normal"/>
      </w:pPr>
      <w:r>
        <w:t xml:space="preserve">ИНН: 312530703</w:t>
      </w:r>
    </w:p>
    <w:p>
      <w:pPr>
        <w:pStyle w:val="Normal"/>
      </w:pPr>
      <w:r>
        <w:t xml:space="preserve">Адрес: Республика Узбекистан, Республика Каракалпакстан, г. Нукус, ул. А. С. Пушкина, 91/7</w:t>
      </w:r>
    </w:p>
    <w:p>
      <w:pPr>
        <w:pStyle w:val="Normal"/>
      </w:pPr>
      <w:r>
        <w:t xml:space="preserve">Электронная почта: info@safelaw.ai. Телефон: +998 90 590 59 00</w:t>
      </w:r>
    </w:p>
    <w:p>
      <w:pPr>
        <w:pStyle w:val="Normal"/>
      </w:pPr>
      <w:r>
        <w:rPr>
          <w:b/>
        </w:rPr>
        <w:t xml:space="preserve">ПОЛИТИКА ДОПУСТИМОГО ИСПОЛЬЗОВАНИЯ ИНФОРМАЦИОННЫХ АКТИВОВ</w:t>
      </w:r>
    </w:p>
    <w:p>
      <w:pPr>
        <w:pStyle w:val="Normal"/>
      </w:pPr>
      <w:r>
        <w:t xml:space="preserve">Документ AUP-01</w:t>
      </w:r>
    </w:p>
    <w:p>
      <w:pPr>
        <w:pStyle w:val="Normal"/>
      </w:pPr>
      <w:r>
        <w:t xml:space="preserve">Версия 1.2</w:t>
      </w:r>
    </w:p>
    <w:p>
      <w:pPr>
        <w:pStyle w:val="Normal"/>
      </w:pPr>
      <w:r>
        <w:t xml:space="preserve">Дата ввода в действие: 15 мая 2026 г.</w:t>
      </w:r>
    </w:p>
    <w:p>
      <w:pPr>
        <w:pStyle w:val="Normal"/>
      </w:pPr>
      <w:r>
        <w:t xml:space="preserve">Дата последнего пересмотра: 30 октября 2026 г.</w:t>
      </w:r>
    </w:p>
    <w:p>
      <w:pPr>
        <w:pStyle w:val="Normal"/>
      </w:pPr>
      <w:r>
        <w:t xml:space="preserve">_Соответствие: PCI DSS v4.0.1, SAQ A_</w:t>
      </w:r>
    </w:p>
    <w:p>
      <w:pPr>
        <w:pStyle w:val="Heading1"/>
      </w:pPr>
      <w:r>
        <w:t xml:space="preserve">1\. Назначение</w:t>
      </w:r>
    </w:p>
    <w:p>
      <w:pPr>
        <w:pStyle w:val="Normal"/>
      </w:pPr>
      <w:r>
        <w:t xml:space="preserve">Настоящая Политика допустимого использования (далее — Политика) определяет правила использования информационных активов, систем, оборудования и каналов связи ООО «SELLAI» (далее — Компания) работниками, подрядчиками и иными лицами, имеющими санкционированный доступ к указанным ресурсам. Цель Политики — обеспечить безопасное, корректное и соответствующее законодательству использование информационных ресурсов Компании.</w:t>
      </w:r>
    </w:p>
    <w:p>
      <w:pPr>
        <w:pStyle w:val="Normal"/>
      </w:pPr>
      <w:r>
        <w:t xml:space="preserve">Роли, упоминаемые в настоящей Политике (ответственный за информационную безопасность, ответственный за обработку персональных данных, руководитель команды реагирования на инциденты, администратор инфраструктуры, ответственный за работу с поставщиками услуг), возлагаются приказом директора на работников Общества; в Политике указывается только роль, без фамилий.</w:t>
      </w:r>
    </w:p>
    <w:p>
      <w:pPr>
        <w:pStyle w:val="Heading1"/>
      </w:pPr>
      <w:r>
        <w:t xml:space="preserve">2\. Область применения</w:t>
      </w:r>
    </w:p>
    <w:p>
      <w:pPr>
        <w:pStyle w:val="Normal"/>
      </w:pPr>
      <w:r>
        <w:t xml:space="preserve">Действие настоящей Политики распространяется на:</w:t>
      </w:r>
    </w:p>
    <w:p>
      <w:pPr>
        <w:pStyle w:val="Normal"/>
        <w:ind w:left="360" w:hanging="180"/>
      </w:pPr>
      <w:r>
        <w:t xml:space="preserve">• всех работников Компании независимо от формы трудовых отношений;</w:t>
      </w:r>
    </w:p>
    <w:p>
      <w:pPr>
        <w:pStyle w:val="Normal"/>
        <w:ind w:left="360" w:hanging="180"/>
      </w:pPr>
      <w:r>
        <w:t xml:space="preserve">• подрядчиков, консультантов, исполнителей по гражданско-правовым договорам, имеющих доступ к информационным ресурсам Компании;</w:t>
      </w:r>
    </w:p>
    <w:p>
      <w:pPr>
        <w:pStyle w:val="Normal"/>
        <w:ind w:left="360" w:hanging="180"/>
      </w:pPr>
      <w:r>
        <w:t xml:space="preserve">• стажёров и иных лиц, получивших временный доступ к ресурсам Компании.</w:t>
      </w:r>
    </w:p>
    <w:p>
      <w:pPr>
        <w:pStyle w:val="Normal"/>
      </w:pPr>
      <w:r>
        <w:t xml:space="preserve">Положения Политики применяются ко всем используемым устройствам (включая личные устройства, если они используются для служебных целей), сетям, программному обеспечению и сервисам, в том числе облачным.</w:t>
      </w:r>
    </w:p>
    <w:p>
      <w:pPr>
        <w:pStyle w:val="Heading1"/>
      </w:pPr>
      <w:r>
        <w:t xml:space="preserve">3\. Общие принципы использования</w:t>
      </w:r>
    </w:p>
    <w:p>
      <w:pPr>
        <w:pStyle w:val="Normal"/>
        <w:ind w:left="360" w:hanging="180"/>
      </w:pPr>
      <w:r>
        <w:t xml:space="preserve">• информационные активы Компании предоставляются в пользование исключительно для выполнения служебных обязанностей;</w:t>
      </w:r>
    </w:p>
    <w:p>
      <w:pPr>
        <w:pStyle w:val="Normal"/>
        <w:ind w:left="360" w:hanging="180"/>
      </w:pPr>
      <w:r>
        <w:t xml:space="preserve">• ограниченное личное использование (например, проверка личной электронной почты) допускается, если оно не мешает выполнению служебных задач, не нарушает законодательства и положений настоящей Политики и не создаёт рисков для безопасности;</w:t>
      </w:r>
    </w:p>
    <w:p>
      <w:pPr>
        <w:pStyle w:val="Normal"/>
        <w:ind w:left="360" w:hanging="180"/>
      </w:pPr>
      <w:r>
        <w:t xml:space="preserve">• работник несёт персональную ответственность за все действия, совершённые с использованием его учётных данных;</w:t>
      </w:r>
    </w:p>
    <w:p>
      <w:pPr>
        <w:pStyle w:val="Normal"/>
        <w:ind w:left="360" w:hanging="180"/>
      </w:pPr>
      <w:r>
        <w:t xml:space="preserve">• передача учётных данных третьим лицам, включая других работников Компании, категорически запрещена.</w:t>
      </w:r>
    </w:p>
    <w:p>
      <w:pPr>
        <w:pStyle w:val="Heading1"/>
      </w:pPr>
      <w:r>
        <w:t xml:space="preserve">4\. Аутентификация и пароли</w:t>
      </w:r>
    </w:p>
    <w:p>
      <w:pPr>
        <w:pStyle w:val="Heading2"/>
      </w:pPr>
      <w:r>
        <w:t xml:space="preserve">4.1. Требования к паролям</w:t>
      </w:r>
    </w:p>
    <w:p>
      <w:pPr>
        <w:pStyle w:val="Normal"/>
        <w:ind w:left="360" w:hanging="180"/>
      </w:pPr>
      <w:r>
        <w:t xml:space="preserve">• минимальная длина — 12 символов;</w:t>
      </w:r>
    </w:p>
    <w:p>
      <w:pPr>
        <w:pStyle w:val="Normal"/>
        <w:ind w:left="360" w:hanging="180"/>
      </w:pPr>
      <w:r>
        <w:t xml:space="preserve">• пароль должен содержать буквы и цифры (рекомендуется также использование специальных символов);</w:t>
      </w:r>
    </w:p>
    <w:p>
      <w:pPr>
        <w:pStyle w:val="Normal"/>
        <w:ind w:left="360" w:hanging="180"/>
      </w:pPr>
      <w:r>
        <w:t xml:space="preserve">• пароль не должен совпадать с одним из 4 предыдущих паролей пользователя;</w:t>
      </w:r>
    </w:p>
    <w:p>
      <w:pPr>
        <w:pStyle w:val="Normal"/>
        <w:ind w:left="360" w:hanging="180"/>
      </w:pPr>
      <w:r>
        <w:t xml:space="preserve">• пароль не должен содержать имя пользователя, имя Компании, очевидные последовательности (123456, qwerty, password и т. п.);</w:t>
      </w:r>
    </w:p>
    <w:p>
      <w:pPr>
        <w:pStyle w:val="Normal"/>
        <w:ind w:left="360" w:hanging="180"/>
      </w:pPr>
      <w:r>
        <w:t xml:space="preserve">• плановая смена пароля — не реже одного раза в 90 дней;</w:t>
      </w:r>
    </w:p>
    <w:p>
      <w:pPr>
        <w:pStyle w:val="Normal"/>
        <w:ind w:left="360" w:hanging="180"/>
      </w:pPr>
      <w:r>
        <w:t xml:space="preserve">• при подозрении на компрометацию учётной записи пароль изменяется незамедлительно.</w:t>
      </w:r>
    </w:p>
    <w:p>
      <w:pPr>
        <w:pStyle w:val="Heading2"/>
      </w:pPr>
      <w:r>
        <w:t xml:space="preserve">4.2. Многофакторная аутентификация (MFA)</w:t>
      </w:r>
    </w:p>
    <w:p>
      <w:pPr>
        <w:pStyle w:val="Normal"/>
      </w:pPr>
      <w:r>
        <w:t xml:space="preserve">Обязательное использование MFA установлено для:</w:t>
      </w:r>
    </w:p>
    <w:p>
      <w:pPr>
        <w:pStyle w:val="Normal"/>
        <w:ind w:left="360" w:hanging="180"/>
      </w:pPr>
      <w:r>
        <w:t xml:space="preserve">• учётных записей Google Workspace (электронная почта, документы);</w:t>
      </w:r>
    </w:p>
    <w:p>
      <w:pPr>
        <w:pStyle w:val="Normal"/>
        <w:ind w:left="360" w:hanging="180"/>
      </w:pPr>
      <w:r>
        <w:t xml:space="preserve">• учётных записей Namecheap, банковских личных кабинетов;</w:t>
      </w:r>
    </w:p>
    <w:p>
      <w:pPr>
        <w:pStyle w:val="Normal"/>
        <w:ind w:left="360" w:hanging="180"/>
      </w:pPr>
      <w:r>
        <w:t xml:space="preserve">• доступа к административным панелям серверов и баз данных;</w:t>
      </w:r>
    </w:p>
    <w:p>
      <w:pPr>
        <w:pStyle w:val="Normal"/>
        <w:ind w:left="360" w:hanging="180"/>
      </w:pPr>
      <w:r>
        <w:t xml:space="preserve">• учётных записей, имеющих доступ к репозиториям исходного кода (GitHub, GitLab и т. п.);</w:t>
      </w:r>
    </w:p>
    <w:p>
      <w:pPr>
        <w:pStyle w:val="Normal"/>
        <w:ind w:left="360" w:hanging="180"/>
      </w:pPr>
      <w:r>
        <w:t xml:space="preserve">• любых учётных записей с привилегированным доступом.</w:t>
      </w:r>
    </w:p>
    <w:p>
      <w:pPr>
        <w:pStyle w:val="Heading2"/>
      </w:pPr>
      <w:r>
        <w:t xml:space="preserve">4.3. Хранение паролей</w:t>
      </w:r>
    </w:p>
    <w:p>
      <w:pPr>
        <w:pStyle w:val="Normal"/>
        <w:ind w:left="360" w:hanging="180"/>
      </w:pPr>
      <w:r>
        <w:t xml:space="preserve">• запрещено записывать пароли на бумажных носителях, оставляемых в открытом доступе;</w:t>
      </w:r>
    </w:p>
    <w:p>
      <w:pPr>
        <w:pStyle w:val="Normal"/>
        <w:ind w:left="360" w:hanging="180"/>
      </w:pPr>
      <w:r>
        <w:t xml:space="preserve">• запрещено хранить пароли в незашифрованном виде в файлах, заметках, переписке;</w:t>
      </w:r>
    </w:p>
    <w:p>
      <w:pPr>
        <w:pStyle w:val="Normal"/>
        <w:ind w:left="360" w:hanging="180"/>
      </w:pPr>
      <w:r>
        <w:t xml:space="preserve">• для хранения паролей используются специализированные менеджеры паролей (например, 1Password, Bitwarden, KeePassXC);</w:t>
      </w:r>
    </w:p>
    <w:p>
      <w:pPr>
        <w:pStyle w:val="Normal"/>
        <w:ind w:left="360" w:hanging="180"/>
      </w:pPr>
      <w:r>
        <w:t xml:space="preserve">• запрещено использовать одинаковые пароли для рабочих и личных учётных записей.</w:t>
      </w:r>
    </w:p>
    <w:p>
      <w:pPr>
        <w:pStyle w:val="Heading1"/>
      </w:pPr>
      <w:r>
        <w:t xml:space="preserve">5\. Использование электронной почты</w:t>
      </w:r>
    </w:p>
    <w:p>
      <w:pPr>
        <w:pStyle w:val="Normal"/>
      </w:pPr>
      <w:r>
        <w:t xml:space="preserve">Корпоративная электронная почта (домен @safelaw.ai на базе Google Workspace) предоставляется для служебной переписки. При использовании электронной почты работники обязаны:</w:t>
      </w:r>
    </w:p>
    <w:p>
      <w:pPr>
        <w:pStyle w:val="Normal"/>
        <w:ind w:left="360" w:hanging="180"/>
      </w:pPr>
      <w:r>
        <w:t xml:space="preserve">• не открывать вложения и ссылки в подозрительных письмах от неизвестных отправителей;</w:t>
      </w:r>
    </w:p>
    <w:p>
      <w:pPr>
        <w:pStyle w:val="Normal"/>
        <w:ind w:left="360" w:hanging="180"/>
      </w:pPr>
      <w:r>
        <w:t xml:space="preserve">• проверять адрес отправителя при получении писем, содержащих просьбы о переводе средств, изменении реквизитов, предоставлении паролей или конфиденциальных данных;</w:t>
      </w:r>
    </w:p>
    <w:p>
      <w:pPr>
        <w:pStyle w:val="Normal"/>
        <w:ind w:left="360" w:hanging="180"/>
      </w:pPr>
      <w:r>
        <w:t xml:space="preserve">• незамедлительно сообщать о фишинговых письмах по адресу security@safelaw.ai или по телефону +998 90 590 59 00;</w:t>
      </w:r>
    </w:p>
    <w:p>
      <w:pPr>
        <w:pStyle w:val="Normal"/>
        <w:ind w:left="360" w:hanging="180"/>
      </w:pPr>
      <w:r>
        <w:t xml:space="preserve">• не пересылать служебную переписку на личные почтовые ящики;</w:t>
      </w:r>
    </w:p>
    <w:p>
      <w:pPr>
        <w:pStyle w:val="Normal"/>
        <w:ind w:left="360" w:hanging="180"/>
      </w:pPr>
      <w:r>
        <w:t xml:space="preserve">• не передавать через электронную почту данные платёжных карт, пароли, персональные данные в открытом виде;</w:t>
      </w:r>
    </w:p>
    <w:p>
      <w:pPr>
        <w:pStyle w:val="Normal"/>
        <w:ind w:left="360" w:hanging="180"/>
      </w:pPr>
      <w:r>
        <w:t xml:space="preserve">• использовать корпоративные подписи и формулировки, соответствующие имиджу Компании.</w:t>
      </w:r>
    </w:p>
    <w:p>
      <w:pPr>
        <w:pStyle w:val="Normal"/>
      </w:pPr>
      <w:r>
        <w:t xml:space="preserve">Запрещается использование корпоративной почты для:</w:t>
      </w:r>
    </w:p>
    <w:p>
      <w:pPr>
        <w:pStyle w:val="Normal"/>
        <w:ind w:left="360" w:hanging="180"/>
      </w:pPr>
      <w:r>
        <w:t xml:space="preserve">• рассылки массовых коммерческих сообщений (спама);</w:t>
      </w:r>
    </w:p>
    <w:p>
      <w:pPr>
        <w:pStyle w:val="Normal"/>
        <w:ind w:left="360" w:hanging="180"/>
      </w:pPr>
      <w:r>
        <w:t xml:space="preserve">• распространения материалов, нарушающих авторские права, оскорбительного или дискриминационного содержания;</w:t>
      </w:r>
    </w:p>
    <w:p>
      <w:pPr>
        <w:pStyle w:val="Normal"/>
        <w:ind w:left="360" w:hanging="180"/>
      </w:pPr>
      <w:r>
        <w:t xml:space="preserve">• регистрации в развлекательных и иных сервисах, не связанных со служебной деятельностью.</w:t>
      </w:r>
    </w:p>
    <w:p>
      <w:pPr>
        <w:pStyle w:val="Heading1"/>
      </w:pPr>
      <w:r>
        <w:t xml:space="preserve">6\. Использование интернета и веб-сервисов</w:t>
      </w:r>
    </w:p>
    <w:p>
      <w:pPr>
        <w:pStyle w:val="Normal"/>
        <w:ind w:left="360" w:hanging="180"/>
      </w:pPr>
      <w:r>
        <w:t xml:space="preserve">• работники используют интернет преимущественно для решения служебных задач;</w:t>
      </w:r>
    </w:p>
    <w:p>
      <w:pPr>
        <w:pStyle w:val="Normal"/>
        <w:ind w:left="360" w:hanging="180"/>
      </w:pPr>
      <w:r>
        <w:t xml:space="preserve">• запрещено загружать на корпоративные устройства программное обеспечение и материалы с непроверенных ресурсов;</w:t>
      </w:r>
    </w:p>
    <w:p>
      <w:pPr>
        <w:pStyle w:val="Normal"/>
        <w:ind w:left="360" w:hanging="180"/>
      </w:pPr>
      <w:r>
        <w:t xml:space="preserve">• запрещено посещать ресурсы, распространяющие вредоносное ПО, контент порнографического, экстремистского или иного противоправного характера;</w:t>
      </w:r>
    </w:p>
    <w:p>
      <w:pPr>
        <w:pStyle w:val="Normal"/>
        <w:ind w:left="360" w:hanging="180"/>
      </w:pPr>
      <w:r>
        <w:t xml:space="preserve">• при использовании облачных сервисов для служебных целей предпочтение отдаётся официально одобренным сервисам (Google Workspace, утверждённые AI-сервисы);</w:t>
      </w:r>
    </w:p>
    <w:p>
      <w:pPr>
        <w:pStyle w:val="Normal"/>
        <w:ind w:left="360" w:hanging="180"/>
      </w:pPr>
      <w:r>
        <w:t xml:space="preserve">• использование новых облачных сервисов для хранения или обработки данных Компании требует предварительного согласования с ответственным за информационную безопасность.</w:t>
      </w:r>
    </w:p>
    <w:p>
      <w:pPr>
        <w:pStyle w:val="Heading1"/>
      </w:pPr>
      <w:r>
        <w:t xml:space="preserve">7\. Использование служебных и личных устройств</w:t>
      </w:r>
    </w:p>
    <w:p>
      <w:pPr>
        <w:pStyle w:val="Heading2"/>
      </w:pPr>
      <w:r>
        <w:t xml:space="preserve">7.1. Служебные устройства</w:t>
      </w:r>
    </w:p>
    <w:p>
      <w:pPr>
        <w:pStyle w:val="Normal"/>
        <w:ind w:left="360" w:hanging="180"/>
      </w:pPr>
      <w:r>
        <w:t xml:space="preserve">• на служебных устройствах устанавливается актуальное антивирусное программное обеспечение;</w:t>
      </w:r>
    </w:p>
    <w:p>
      <w:pPr>
        <w:pStyle w:val="Normal"/>
        <w:ind w:left="360" w:hanging="180"/>
      </w:pPr>
      <w:r>
        <w:t xml:space="preserve">• операционная система и установленные приложения регулярно обновляются;</w:t>
      </w:r>
    </w:p>
    <w:p>
      <w:pPr>
        <w:pStyle w:val="Normal"/>
        <w:ind w:left="360" w:hanging="180"/>
      </w:pPr>
      <w:r>
        <w:t xml:space="preserve">• включается полнодисковое шифрование (FileVault для macOS, BitLocker для Windows, LUKS для Linux);</w:t>
      </w:r>
    </w:p>
    <w:p>
      <w:pPr>
        <w:pStyle w:val="Normal"/>
        <w:ind w:left="360" w:hanging="180"/>
      </w:pPr>
      <w:r>
        <w:t xml:space="preserve">• устройство автоматически блокируется после 10 минут бездействия;</w:t>
      </w:r>
    </w:p>
    <w:p>
      <w:pPr>
        <w:pStyle w:val="Normal"/>
        <w:ind w:left="360" w:hanging="180"/>
      </w:pPr>
      <w:r>
        <w:t xml:space="preserve">• при утере или краже устройства работник незамедлительно сообщает в Компанию для блокировки доступа.</w:t>
      </w:r>
    </w:p>
    <w:p>
      <w:pPr>
        <w:pStyle w:val="Heading2"/>
      </w:pPr>
      <w:r>
        <w:t xml:space="preserve">7.2. Использование личных устройств (BYOD)</w:t>
      </w:r>
    </w:p>
    <w:p>
      <w:pPr>
        <w:pStyle w:val="Normal"/>
      </w:pPr>
      <w:r>
        <w:t xml:space="preserve">Если работник использует личное устройство для служебных целей, на него распространяются следующие требования:</w:t>
      </w:r>
    </w:p>
    <w:p>
      <w:pPr>
        <w:pStyle w:val="Normal"/>
        <w:ind w:left="360" w:hanging="180"/>
      </w:pPr>
      <w:r>
        <w:t xml:space="preserve">• устройство защищено паролем, PIN-кодом, биометрической аутентификацией или иной формой блокировки экрана;</w:t>
      </w:r>
    </w:p>
    <w:p>
      <w:pPr>
        <w:pStyle w:val="Normal"/>
        <w:ind w:left="360" w:hanging="180"/>
      </w:pPr>
      <w:r>
        <w:t xml:space="preserve">• на устройстве установлено актуальное программное обеспечение и установлены последние обновления безопасности;</w:t>
      </w:r>
    </w:p>
    <w:p>
      <w:pPr>
        <w:pStyle w:val="Normal"/>
        <w:ind w:left="360" w:hanging="180"/>
      </w:pPr>
      <w:r>
        <w:t xml:space="preserve">• служебные данные не сохраняются в незашифрованных хранилищах;</w:t>
      </w:r>
    </w:p>
    <w:p>
      <w:pPr>
        <w:pStyle w:val="Normal"/>
        <w:ind w:left="360" w:hanging="180"/>
      </w:pPr>
      <w:r>
        <w:t xml:space="preserve">• при прекращении трудовых или иных отношений работник обязан удалить все служебные данные с личного устройства.</w:t>
      </w:r>
    </w:p>
    <w:p>
      <w:pPr>
        <w:pStyle w:val="Heading1"/>
      </w:pPr>
      <w:r>
        <w:t xml:space="preserve">8\. Удалённый доступ</w:t>
      </w:r>
    </w:p>
    <w:p>
      <w:pPr>
        <w:pStyle w:val="Normal"/>
        <w:ind w:left="360" w:hanging="180"/>
      </w:pPr>
      <w:r>
        <w:t xml:space="preserve">• удалённый доступ к корпоративным ресурсам осуществляется только с использованием MFA;</w:t>
      </w:r>
    </w:p>
    <w:p>
      <w:pPr>
        <w:pStyle w:val="Normal"/>
        <w:ind w:left="360" w:hanging="180"/>
      </w:pPr>
      <w:r>
        <w:t xml:space="preserve">• при работе с публичными сетями Wi-Fi рекомендуется использование VPN;</w:t>
      </w:r>
    </w:p>
    <w:p>
      <w:pPr>
        <w:pStyle w:val="Normal"/>
        <w:ind w:left="360" w:hanging="180"/>
      </w:pPr>
      <w:r>
        <w:t xml:space="preserve">• экран устройства, используемого для работы со служебной информацией в общественных местах, должен быть защищён от посторонних взглядов;</w:t>
      </w:r>
    </w:p>
    <w:p>
      <w:pPr>
        <w:pStyle w:val="Normal"/>
        <w:ind w:left="360" w:hanging="180"/>
      </w:pPr>
      <w:r>
        <w:t xml:space="preserve">• запрещено оставлять устройство без присмотра в публичных местах.</w:t>
      </w:r>
    </w:p>
    <w:p>
      <w:pPr>
        <w:pStyle w:val="Heading1"/>
      </w:pPr>
      <w:r>
        <w:t xml:space="preserve">9\. Защита данных платёжных карт</w:t>
      </w:r>
    </w:p>
    <w:p>
      <w:pPr>
        <w:pStyle w:val="Normal"/>
      </w:pPr>
      <w:r>
        <w:t xml:space="preserve">Учитывая работу Компании с платёжными операциями, всем работникам категорически запрещается:</w:t>
      </w:r>
    </w:p>
    <w:p>
      <w:pPr>
        <w:pStyle w:val="Normal"/>
        <w:ind w:left="360" w:hanging="180"/>
      </w:pPr>
      <w:r>
        <w:t xml:space="preserve">• принимать от пользователей данные платёжных карт (номер карты, CVV, PIN, срок действия) по электронной почте, мессенджерам, телефону, в чатах поддержки или иным каналам, минующим платёжный шлюз платёжного провайдера (FreedomPay);</w:t>
      </w:r>
    </w:p>
    <w:p>
      <w:pPr>
        <w:pStyle w:val="Normal"/>
        <w:ind w:left="360" w:hanging="180"/>
      </w:pPr>
      <w:r>
        <w:t xml:space="preserve">• записывать, фотографировать или сохранять данные платёжных карт пользователей в каком бы то ни было виде;</w:t>
      </w:r>
    </w:p>
    <w:p>
      <w:pPr>
        <w:pStyle w:val="Normal"/>
        <w:ind w:left="360" w:hanging="180"/>
      </w:pPr>
      <w:r>
        <w:t xml:space="preserve">• обсуждать данные платёжных карт пользователей с коллегами или третьими лицами;</w:t>
      </w:r>
    </w:p>
    <w:p>
      <w:pPr>
        <w:pStyle w:val="Normal"/>
        <w:ind w:left="360" w:hanging="180"/>
      </w:pPr>
      <w:r>
        <w:t xml:space="preserve">• разрабатывать программный код, формы или процессы, которые могли бы привести к обработке PAN или SAD на стороне Компании, без предварительного письменного согласования с ответственным за информационную безопасность.</w:t>
      </w:r>
    </w:p>
    <w:p>
      <w:pPr>
        <w:pStyle w:val="Normal"/>
      </w:pPr>
      <w:r>
        <w:t xml:space="preserve">В случае, если пользователь по собственной инициативе направил данные платёжной карты по неподобающему каналу (например, в письме службе поддержки), работник обязан:</w:t>
      </w:r>
    </w:p>
    <w:p>
      <w:pPr>
        <w:pStyle w:val="Normal"/>
        <w:ind w:left="360" w:hanging="180"/>
      </w:pPr>
      <w:r>
        <w:t xml:space="preserve">• незамедлительно удалить сообщение, содержащее данные карты;</w:t>
      </w:r>
    </w:p>
    <w:p>
      <w:pPr>
        <w:pStyle w:val="Normal"/>
        <w:ind w:left="360" w:hanging="180"/>
      </w:pPr>
      <w:r>
        <w:t xml:space="preserve">• уведомить пользователя о том, что Компания не принимает платёжные реквизиты по электронной почте, и предложить совершить платёж штатным способом через сайт;</w:t>
      </w:r>
    </w:p>
    <w:p>
      <w:pPr>
        <w:pStyle w:val="Normal"/>
        <w:ind w:left="360" w:hanging="180"/>
      </w:pPr>
      <w:r>
        <w:t xml:space="preserve">• уведомить ответственного за информационную безопасность.</w:t>
      </w:r>
    </w:p>
    <w:p>
      <w:pPr>
        <w:pStyle w:val="Heading1"/>
      </w:pPr>
      <w:r>
        <w:t xml:space="preserve">10\. Программное обеспечение</w:t>
      </w:r>
    </w:p>
    <w:p>
      <w:pPr>
        <w:pStyle w:val="Normal"/>
        <w:ind w:left="360" w:hanging="180"/>
      </w:pPr>
      <w:r>
        <w:t xml:space="preserve">• на корпоративных устройствах устанавливается только лицензионное или свободно распространяемое программное обеспечение;</w:t>
      </w:r>
    </w:p>
    <w:p>
      <w:pPr>
        <w:pStyle w:val="Normal"/>
        <w:ind w:left="360" w:hanging="180"/>
      </w:pPr>
      <w:r>
        <w:t xml:space="preserve">• установка нового программного обеспечения, особенно требующего повышенных привилегий, согласовывается с ответственным за информационную безопасность;</w:t>
      </w:r>
    </w:p>
    <w:p>
      <w:pPr>
        <w:pStyle w:val="Normal"/>
        <w:ind w:left="360" w:hanging="180"/>
      </w:pPr>
      <w:r>
        <w:t xml:space="preserve">• запрещается использовать пиратское программное обеспечение, кейгены, кряки и иные средства обхода лицензионных ограничений;</w:t>
      </w:r>
    </w:p>
    <w:p>
      <w:pPr>
        <w:pStyle w:val="Normal"/>
        <w:ind w:left="360" w:hanging="180"/>
      </w:pPr>
      <w:r>
        <w:t xml:space="preserve">• использование расширений браузера и плагинов оценивается на предмет рисков для безопасности и конфиденциальности данных.</w:t>
      </w:r>
    </w:p>
    <w:p>
      <w:pPr>
        <w:pStyle w:val="Heading1"/>
      </w:pPr>
      <w:r>
        <w:t xml:space="preserve">11\. Защита от вредоносного ПО и фишинга</w:t>
      </w:r>
    </w:p>
    <w:p>
      <w:pPr>
        <w:pStyle w:val="Normal"/>
      </w:pPr>
      <w:r>
        <w:t xml:space="preserve">Работники обязаны:</w:t>
      </w:r>
    </w:p>
    <w:p>
      <w:pPr>
        <w:pStyle w:val="Normal"/>
        <w:ind w:left="360" w:hanging="180"/>
      </w:pPr>
      <w:r>
        <w:t xml:space="preserve">• проявлять осторожность при открытии вложений и переходе по ссылкам в электронных письмах;</w:t>
      </w:r>
    </w:p>
    <w:p>
      <w:pPr>
        <w:pStyle w:val="Normal"/>
        <w:ind w:left="360" w:hanging="180"/>
      </w:pPr>
      <w:r>
        <w:t xml:space="preserve">• проверять адрес отправителя на предмет подделки (например, замены символов в имени домена);</w:t>
      </w:r>
    </w:p>
    <w:p>
      <w:pPr>
        <w:pStyle w:val="Normal"/>
        <w:ind w:left="360" w:hanging="180"/>
      </w:pPr>
      <w:r>
        <w:t xml:space="preserve">• не вводить учётные данные на страницах, открытых по ссылкам из писем;</w:t>
      </w:r>
    </w:p>
    <w:p>
      <w:pPr>
        <w:pStyle w:val="Normal"/>
        <w:ind w:left="360" w:hanging="180"/>
      </w:pPr>
      <w:r>
        <w:t xml:space="preserve">• при подозрении на заражение устройства вредоносным ПО — немедленно отключить устройство от сети и сообщить ответственному за информационную безопасность.</w:t>
      </w:r>
    </w:p>
    <w:p>
      <w:pPr>
        <w:pStyle w:val="Normal"/>
      </w:pPr>
      <w:r>
        <w:t xml:space="preserve">Признаки потенциального фишинга:</w:t>
      </w:r>
    </w:p>
    <w:p>
      <w:pPr>
        <w:pStyle w:val="Normal"/>
        <w:ind w:left="360" w:hanging="180"/>
      </w:pPr>
      <w:r>
        <w:t xml:space="preserve">• неожиданная срочность и угрозы блокировки/штрафа;</w:t>
      </w:r>
    </w:p>
    <w:p>
      <w:pPr>
        <w:pStyle w:val="Normal"/>
        <w:ind w:left="360" w:hanging="180"/>
      </w:pPr>
      <w:r>
        <w:t xml:space="preserve">• несоответствие имени отправителя и его адреса;</w:t>
      </w:r>
    </w:p>
    <w:p>
      <w:pPr>
        <w:pStyle w:val="Normal"/>
        <w:ind w:left="360" w:hanging="180"/>
      </w:pPr>
      <w:r>
        <w:t xml:space="preserve">• просьбы о переводе денежных средств, изменении банковских реквизитов, предоставлении паролей;</w:t>
      </w:r>
    </w:p>
    <w:p>
      <w:pPr>
        <w:pStyle w:val="Normal"/>
        <w:ind w:left="360" w:hanging="180"/>
      </w:pPr>
      <w:r>
        <w:t xml:space="preserve">• вложения с расширениями .exe, .zip, .scr, .docm от неизвестных отправителей.</w:t>
      </w:r>
    </w:p>
    <w:p>
      <w:pPr>
        <w:pStyle w:val="Heading1"/>
      </w:pPr>
      <w:r>
        <w:t xml:space="preserve">12\. Использование AI-сервисов и сторонних сервисов</w:t>
      </w:r>
    </w:p>
    <w:p>
      <w:pPr>
        <w:pStyle w:val="Normal"/>
      </w:pPr>
      <w:r>
        <w:t xml:space="preserve">При работе со сторонними AI-сервисами (OpenAI, Anthropic, Voyage AI и иные) работники обязаны:</w:t>
      </w:r>
    </w:p>
    <w:p>
      <w:pPr>
        <w:pStyle w:val="Normal"/>
        <w:ind w:left="360" w:hanging="180"/>
      </w:pPr>
      <w:r>
        <w:t xml:space="preserve">• не передавать в AI-сервисы данные платёжных карт пользователей, пароли, ключи API в открытом виде;</w:t>
      </w:r>
    </w:p>
    <w:p>
      <w:pPr>
        <w:pStyle w:val="Normal"/>
        <w:ind w:left="360" w:hanging="180"/>
      </w:pPr>
      <w:r>
        <w:t xml:space="preserve">• ограничивать передачу персональных данных пользователей минимально необходимым объёмом;</w:t>
      </w:r>
    </w:p>
    <w:p>
      <w:pPr>
        <w:pStyle w:val="Normal"/>
        <w:ind w:left="360" w:hanging="180"/>
      </w:pPr>
      <w:r>
        <w:t xml:space="preserve">• использовать только официальные интеграции и API, утверждённые Компанией;</w:t>
      </w:r>
    </w:p>
    <w:p>
      <w:pPr>
        <w:pStyle w:val="Normal"/>
        <w:ind w:left="360" w:hanging="180"/>
      </w:pPr>
      <w:r>
        <w:t xml:space="preserve">• учитывать, что данные, переданные в AI-сервис, могут обрабатываться поставщиком в соответствии с его политикой.</w:t>
      </w:r>
    </w:p>
    <w:p>
      <w:pPr>
        <w:pStyle w:val="Heading1"/>
      </w:pPr>
      <w:r>
        <w:t xml:space="preserve">13\. Социальные сети и публичные выступления</w:t>
      </w:r>
    </w:p>
    <w:p>
      <w:pPr>
        <w:pStyle w:val="Normal"/>
        <w:ind w:left="360" w:hanging="180"/>
      </w:pPr>
      <w:r>
        <w:t xml:space="preserve">• публикации, связанные с деятельностью Компании, согласовываются с руководством;</w:t>
      </w:r>
    </w:p>
    <w:p>
      <w:pPr>
        <w:pStyle w:val="Normal"/>
        <w:ind w:left="360" w:hanging="180"/>
      </w:pPr>
      <w:r>
        <w:t xml:space="preserve">• запрещается раскрывать в социальных сетях информацию о клиентах, партнёрах, внутренних процессах, инфраструктуре, инцидентах;</w:t>
      </w:r>
    </w:p>
    <w:p>
      <w:pPr>
        <w:pStyle w:val="Normal"/>
        <w:ind w:left="360" w:hanging="180"/>
      </w:pPr>
      <w:r>
        <w:t xml:space="preserve">• при упоминании Компании в личных публикациях работник указывает, что выражает личное мнение.</w:t>
      </w:r>
    </w:p>
    <w:p>
      <w:pPr>
        <w:pStyle w:val="Heading1"/>
      </w:pPr>
      <w:r>
        <w:t xml:space="preserve">14\. Запрещённые виды деятельности</w:t>
      </w:r>
    </w:p>
    <w:p>
      <w:pPr>
        <w:pStyle w:val="Normal"/>
      </w:pPr>
      <w:r>
        <w:t xml:space="preserve">При использовании ресурсов Компании категорически запрещается:</w:t>
      </w:r>
    </w:p>
    <w:p>
      <w:pPr>
        <w:pStyle w:val="Normal"/>
        <w:ind w:left="360" w:hanging="180"/>
      </w:pPr>
      <w:r>
        <w:t xml:space="preserve">• попытки несанкционированного доступа к информационным системам Компании или третьих сторон;</w:t>
      </w:r>
    </w:p>
    <w:p>
      <w:pPr>
        <w:pStyle w:val="Normal"/>
        <w:ind w:left="360" w:hanging="180"/>
      </w:pPr>
      <w:r>
        <w:t xml:space="preserve">• использование Уязвимостей программного обеспечения для целей, не связанных с разрешённым тестированием безопасности;</w:t>
      </w:r>
    </w:p>
    <w:p>
      <w:pPr>
        <w:pStyle w:val="Normal"/>
        <w:ind w:left="360" w:hanging="180"/>
      </w:pPr>
      <w:r>
        <w:t xml:space="preserve">• отключение средств защиты (антивирус, межсетевой экран, журналирование);</w:t>
      </w:r>
    </w:p>
    <w:p>
      <w:pPr>
        <w:pStyle w:val="Normal"/>
        <w:ind w:left="360" w:hanging="180"/>
      </w:pPr>
      <w:r>
        <w:t xml:space="preserve">• обход средств контроля доступа, парольной защиты, MFA;</w:t>
      </w:r>
    </w:p>
    <w:p>
      <w:pPr>
        <w:pStyle w:val="Normal"/>
        <w:ind w:left="360" w:hanging="180"/>
      </w:pPr>
      <w:r>
        <w:t xml:space="preserve">• создание, использование или распространение вредоносного программного обеспечения;</w:t>
      </w:r>
    </w:p>
    <w:p>
      <w:pPr>
        <w:pStyle w:val="Normal"/>
        <w:ind w:left="360" w:hanging="180"/>
      </w:pPr>
      <w:r>
        <w:t xml:space="preserve">• намеренное искажение или уничтожение информационных активов Компании;</w:t>
      </w:r>
    </w:p>
    <w:p>
      <w:pPr>
        <w:pStyle w:val="Normal"/>
        <w:ind w:left="360" w:hanging="180"/>
      </w:pPr>
      <w:r>
        <w:t xml:space="preserve">• действия, противоречащие законодательству Республики Узбекистан или международным обязательствам Компании.</w:t>
      </w:r>
    </w:p>
    <w:p>
      <w:pPr>
        <w:pStyle w:val="Heading1"/>
      </w:pPr>
      <w:r>
        <w:t xml:space="preserve">15\. Мониторинг</w:t>
      </w:r>
    </w:p>
    <w:p>
      <w:pPr>
        <w:pStyle w:val="Normal"/>
      </w:pPr>
      <w:r>
        <w:t xml:space="preserve">Компания вправе осуществлять мониторинг использования информационных ресурсов в целях обеспечения безопасности и соблюдения настоящей Политики. Мониторинг может включать:</w:t>
      </w:r>
    </w:p>
    <w:p>
      <w:pPr>
        <w:pStyle w:val="Normal"/>
        <w:ind w:left="360" w:hanging="180"/>
      </w:pPr>
      <w:r>
        <w:t xml:space="preserve">• анализ журналов доступа к системам и приложениям;</w:t>
      </w:r>
    </w:p>
    <w:p>
      <w:pPr>
        <w:pStyle w:val="Normal"/>
        <w:ind w:left="360" w:hanging="180"/>
      </w:pPr>
      <w:r>
        <w:t xml:space="preserve">• мониторинг сетевого трафика на пограничных устройствах;</w:t>
      </w:r>
    </w:p>
    <w:p>
      <w:pPr>
        <w:pStyle w:val="Normal"/>
        <w:ind w:left="360" w:hanging="180"/>
      </w:pPr>
      <w:r>
        <w:t xml:space="preserve">• анализ журналов корпоративной электронной почты при подозрении на инциденты.</w:t>
      </w:r>
    </w:p>
    <w:p>
      <w:pPr>
        <w:pStyle w:val="Normal"/>
      </w:pPr>
      <w:r>
        <w:t xml:space="preserve">Мониторинг осуществляется с учётом требований законодательства Республики Узбекистан о персональных данных и тайне переписки.</w:t>
      </w:r>
    </w:p>
    <w:p>
      <w:pPr>
        <w:pStyle w:val="Heading1"/>
      </w:pPr>
      <w:r>
        <w:t xml:space="preserve">16\. Ответственность</w:t>
      </w:r>
    </w:p>
    <w:p>
      <w:pPr>
        <w:pStyle w:val="Normal"/>
      </w:pPr>
      <w:r>
        <w:t xml:space="preserve">Нарушение положений настоящей Политики может повлечь:</w:t>
      </w:r>
    </w:p>
    <w:p>
      <w:pPr>
        <w:pStyle w:val="Normal"/>
        <w:ind w:left="360" w:hanging="180"/>
      </w:pPr>
      <w:r>
        <w:t xml:space="preserve">• дисциплинарные взыскания в соответствии с трудовым законодательством Республики Узбекистан;</w:t>
      </w:r>
    </w:p>
    <w:p>
      <w:pPr>
        <w:pStyle w:val="Normal"/>
        <w:ind w:left="360" w:hanging="180"/>
      </w:pPr>
      <w:r>
        <w:t xml:space="preserve">• прекращение трудовых или гражданско-правовых отношений;</w:t>
      </w:r>
    </w:p>
    <w:p>
      <w:pPr>
        <w:pStyle w:val="Normal"/>
        <w:ind w:left="360" w:hanging="180"/>
      </w:pPr>
      <w:r>
        <w:t xml:space="preserve">• гражданско-правовую, административную или уголовную ответственность в установленных законом случаях;</w:t>
      </w:r>
    </w:p>
    <w:p>
      <w:pPr>
        <w:pStyle w:val="Normal"/>
        <w:ind w:left="360" w:hanging="180"/>
      </w:pPr>
      <w:r>
        <w:t xml:space="preserve">• возмещение причинённого Компании ущерба.</w:t>
      </w:r>
    </w:p>
    <w:p>
      <w:pPr>
        <w:pStyle w:val="Heading1"/>
      </w:pPr>
      <w:r>
        <w:t xml:space="preserve">17\. Ознакомление и обязательства</w:t>
      </w:r>
    </w:p>
    <w:p>
      <w:pPr>
        <w:pStyle w:val="Normal"/>
      </w:pPr>
      <w:r>
        <w:t xml:space="preserve">Все работники и подрядчики, на которых распространяется действие настоящей Политики, обязаны ознакомиться с её положениями под роспись при приёме на работу (заключении договора), а также при каждом существенном обновлении Политики. Ознакомление фиксируется в журнале ознакомления с локальными актами по информационной безопасности.</w:t>
      </w:r>
    </w:p>
    <w:p>
      <w:pPr>
        <w:pStyle w:val="Heading1"/>
      </w:pPr>
      <w:r>
        <w:t xml:space="preserve">18\. Пересмотр Политики</w:t>
      </w:r>
    </w:p>
    <w:p>
      <w:pPr>
        <w:pStyle w:val="Normal"/>
      </w:pPr>
      <w:r>
        <w:t xml:space="preserve">Настоящая Политика пересматривается не реже одного раза в 12 месяцев, а также при существенных изменениях бизнес-процессов, информационной инфраструктуры или нормативно-правовой базы. Контроль соблюдения данного требования возлагается на ответственного за информационную безопасность.</w:t>
      </w:r>
    </w:p>
    <w:p>
      <w:pPr>
        <w:pStyle w:val="Heading1"/>
      </w:pPr>
      <w:r>
        <w:t xml:space="preserve">19\. Сведения о документе</w:t>
      </w:r>
    </w:p>
    <w:p>
      <w:pPr>
        <w:pStyle w:val="Normal"/>
      </w:pPr>
      <w:r>
        <w:rPr>
          <w:b/>
        </w:rPr>
        <w:t xml:space="preserve">Версия</w:t>
      </w:r>
    </w:p>
    <w:p>
      <w:pPr>
        <w:pStyle w:val="Normal"/>
      </w:pPr>
      <w:r>
        <w:rPr>
          <w:b/>
        </w:rPr>
        <w:t xml:space="preserve">Дата</w:t>
      </w:r>
    </w:p>
    <w:p>
      <w:pPr>
        <w:pStyle w:val="Normal"/>
      </w:pPr>
      <w:r>
        <w:rPr>
          <w:b/>
        </w:rPr>
        <w:t xml:space="preserve">Изменения</w:t>
      </w:r>
    </w:p>
    <w:p>
      <w:pPr>
        <w:pStyle w:val="Normal"/>
      </w:pPr>
      <w:r>
        <w:rPr>
          <w:b/>
        </w:rPr>
        <w:t xml:space="preserve">Утвердил</w:t>
      </w:r>
    </w:p>
    <w:p>
      <w:pPr>
        <w:pStyle w:val="Normal"/>
      </w:pPr>
      <w:r>
        <w:t xml:space="preserve">1.0</w:t>
      </w:r>
    </w:p>
    <w:p>
      <w:pPr>
        <w:pStyle w:val="Normal"/>
      </w:pPr>
      <w:r>
        <w:t xml:space="preserve">15.05.2026</w:t>
      </w:r>
    </w:p>
    <w:p>
      <w:pPr>
        <w:pStyle w:val="Normal"/>
      </w:pPr>
      <w:r>
        <w:t xml:space="preserve">Первичное утверждение документа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1.1</w:t>
      </w:r>
    </w:p>
    <w:p>
      <w:pPr>
        <w:pStyle w:val="Normal"/>
      </w:pPr>
      <w:r>
        <w:t xml:space="preserve">22.09.2026</w:t>
      </w:r>
    </w:p>
    <w:p>
      <w:pPr>
        <w:pStyle w:val="Normal"/>
      </w:pPr>
      <w:r>
        <w:t xml:space="preserve">Плановый пересмотр: роли, назначаемые приказом директора; срок пересмотра Политики; контактные данные; реквизиты Общества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1.2</w:t>
      </w:r>
    </w:p>
    <w:p>
      <w:pPr>
        <w:pStyle w:val="Normal"/>
      </w:pPr>
      <w:r>
        <w:t xml:space="preserve">30.10.2026</w:t>
      </w:r>
    </w:p>
    <w:p>
      <w:pPr>
        <w:pStyle w:val="Normal"/>
      </w:pPr>
      <w:r>
        <w:t xml:space="preserve">Внеплановый пересмотр: адрес security@safelaw.ai для сообщений о фишинге; актуализирован перечень сервисов</w:t>
      </w:r>
    </w:p>
    <w:p>
      <w:pPr>
        <w:pStyle w:val="Normal"/>
      </w:pPr>
      <w:r>
        <w:t xml:space="preserve">Директор Общества</w:t>
      </w:r>
    </w:p>
    <w:p>
      <w:pPr>
        <w:pStyle w:val="Heading2"/>
      </w:pPr>
      <w:r>
        <w:t xml:space="preserve">Утверждение документа</w:t>
      </w:r>
    </w:p>
    <w:p>
      <w:pPr>
        <w:pStyle w:val="Normal"/>
      </w:pPr>
      <w:r>
        <w:t xml:space="preserve">Документ утверждён директором Общества и введён в действие с 15 мая 2026 года. Документ подлежит обязательному ознакомлению всеми работниками, подрядчиками и иными лицами, имеющими доступ к информационным активам Общества.</w:t>
      </w:r>
    </w:p>
    <w:sectPr>
      <w:pgSz w:w="11906" w:h="16838"/>
      <w:pgMar w:top="1134" w:right="907" w:bottom="1021" w:left="90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</w:rPr>
    </w:rPrDefault>
  </w:docDefaults>
  <w:style w:type="paragraph" w:styleId="Title">
    <w:name w:val="Title"/>
    <w:pPr>
      <w:spacing w:before="0" w:after="200"/>
    </w:pPr>
    <w:rPr>
      <w:rFonts w:ascii="Calibri" w:hAnsi="Calibri"/>
      <w:sz w:val="34"/>
      <w:b/>
    </w:rPr>
  </w:style>
  <w:style w:type="paragraph" w:styleId="Heading1">
    <w:name w:val="heading 1"/>
    <w:pPr>
      <w:spacing w:before="280" w:after="120"/>
      <w:outlineLvl w:val="0"/>
    </w:pPr>
    <w:rPr>
      <w:rFonts w:ascii="Calibri" w:hAnsi="Calibri"/>
      <w:sz w:val="27"/>
      <w:b/>
    </w:rPr>
  </w:style>
  <w:style w:type="paragraph" w:styleId="Heading2">
    <w:name w:val="heading 2"/>
    <w:pPr>
      <w:spacing w:before="240" w:after="100"/>
      <w:outlineLvl w:val="1"/>
    </w:pPr>
    <w:rPr>
      <w:rFonts w:ascii="Calibri" w:hAnsi="Calibri"/>
      <w:sz w:val="23"/>
      <w:b/>
    </w:rPr>
  </w:style>
  <w:style w:type="paragraph" w:styleId="Heading3">
    <w:name w:val="heading 3"/>
    <w:pPr>
      <w:spacing w:before="200" w:after="80"/>
      <w:outlineLvl w:val="2"/>
    </w:pPr>
    <w:rPr>
      <w:rFonts w:ascii="Calibri" w:hAnsi="Calibri"/>
      <w:sz w:val="21"/>
      <w:b/>
    </w:rPr>
  </w:style>
  <w:style w:type="paragraph" w:styleId="Normal">
    <w:name w:val="Normal"/>
    <w:pPr>
      <w:spacing w:before="0" w:after="120"/>
    </w:pPr>
    <w:rPr>
      <w:rFonts w:ascii="Calibri" w:hAnsi="Calibri"/>
      <w:sz w:val="21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