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rPr>
          <w:b/>
        </w:rPr>
        <w:t xml:space="preserve">ООО «SELLAI»</w:t>
      </w:r>
    </w:p>
    <w:p>
      <w:pPr>
        <w:pStyle w:val="Normal"/>
      </w:pPr>
      <w:r>
        <w:t xml:space="preserve">Сервис SafeLaw (safelaw.ai)</w:t>
      </w:r>
    </w:p>
    <w:p>
      <w:pPr>
        <w:pStyle w:val="Normal"/>
      </w:pPr>
      <w:r>
        <w:t xml:space="preserve">ИНН: 312530703</w:t>
      </w:r>
    </w:p>
    <w:p>
      <w:pPr>
        <w:pStyle w:val="Normal"/>
      </w:pPr>
      <w:r>
        <w:t xml:space="preserve">Адрес: Республика Узбекистан, Республика Каракалпакстан, г. Нукус, ул. А. С. Пушкина, 91/7</w:t>
      </w:r>
    </w:p>
    <w:p>
      <w:pPr>
        <w:pStyle w:val="Normal"/>
      </w:pPr>
      <w:r>
        <w:t xml:space="preserve">Электронная почта: info@safelaw.ai. Телефон: +998 90 590 59 00</w:t>
      </w:r>
    </w:p>
    <w:p>
      <w:pPr>
        <w:pStyle w:val="Normal"/>
      </w:pPr>
      <w:r>
        <w:rPr>
          <w:b/>
        </w:rPr>
        <w:t xml:space="preserve">ПОЛИТИКА ИНФОРМАЦИОННОЙ БЕЗОПАСНОСТИ</w:t>
      </w:r>
    </w:p>
    <w:p>
      <w:pPr>
        <w:pStyle w:val="Normal"/>
      </w:pPr>
      <w:r>
        <w:t xml:space="preserve">Документ ISP-01</w:t>
      </w:r>
    </w:p>
    <w:p>
      <w:pPr>
        <w:pStyle w:val="Normal"/>
      </w:pPr>
      <w:r>
        <w:t xml:space="preserve">Версия 1.2</w:t>
      </w:r>
    </w:p>
    <w:p>
      <w:pPr>
        <w:pStyle w:val="Normal"/>
      </w:pPr>
      <w:r>
        <w:t xml:space="preserve">Дата ввода в действие: 15 мая 2026 г.</w:t>
      </w:r>
    </w:p>
    <w:p>
      <w:pPr>
        <w:pStyle w:val="Normal"/>
      </w:pPr>
      <w:r>
        <w:t xml:space="preserve">Дата последнего пересмотра: 30 октября 2026 г.</w:t>
      </w:r>
    </w:p>
    <w:p>
      <w:pPr>
        <w:pStyle w:val="Normal"/>
      </w:pPr>
      <w:r>
        <w:t xml:space="preserve">_Соответствие: PCI DSS v4.0.1, SAQ A_</w:t>
      </w:r>
    </w:p>
    <w:p>
      <w:pPr>
        <w:pStyle w:val="Heading1"/>
      </w:pPr>
      <w:r>
        <w:t xml:space="preserve">1\. Назначение и цели</w:t>
      </w:r>
    </w:p>
    <w:p>
      <w:pPr>
        <w:pStyle w:val="Normal"/>
      </w:pPr>
      <w:r>
        <w:t xml:space="preserve">Настоящая Политика информационной безопасности (далее — Политика) устанавливает основные принципы, требования и направления деятельности ООО «SELLAI» (ИНН: 312530703, далее — Компания) в области защиты информации, в том числе платёжных данных держателей карт (Cardholder Data, далее — CHD), обрабатываемых в рамках предоставления сервиса SafeLaw (safelaw.ai).</w:t>
      </w:r>
    </w:p>
    <w:p>
      <w:pPr>
        <w:pStyle w:val="Normal"/>
      </w:pPr>
      <w:r>
        <w:t xml:space="preserve">Основные цели Политики:</w:t>
      </w:r>
    </w:p>
    <w:p>
      <w:pPr>
        <w:pStyle w:val="Normal"/>
        <w:ind w:left="360" w:hanging="180"/>
      </w:pPr>
      <w:r>
        <w:t xml:space="preserve">• обеспечение конфиденциальности, целостности и доступности информационных активов Компании;</w:t>
      </w:r>
    </w:p>
    <w:p>
      <w:pPr>
        <w:pStyle w:val="Normal"/>
        <w:ind w:left="360" w:hanging="180"/>
      </w:pPr>
      <w:r>
        <w:t xml:space="preserve">• защита данных платёжных карт пользователей в соответствии с требованиями стандарта PCI DSS v4.0.1 (уровень самооценки SAQ A);</w:t>
      </w:r>
    </w:p>
    <w:p>
      <w:pPr>
        <w:pStyle w:val="Normal"/>
        <w:ind w:left="360" w:hanging="180"/>
      </w:pPr>
      <w:r>
        <w:t xml:space="preserve">• соблюдение законодательства Республики Узбекистан, включая Закон РУз «О персональных данных» от 02.07.2019 № ЗРУ-547;</w:t>
      </w:r>
    </w:p>
    <w:p>
      <w:pPr>
        <w:pStyle w:val="Normal"/>
        <w:ind w:left="360" w:hanging="180"/>
      </w:pPr>
      <w:r>
        <w:t xml:space="preserve">• формирование единых правил информационной безопасности для всех работников, подрядчиков и третьих сторон Компании;</w:t>
      </w:r>
    </w:p>
    <w:p>
      <w:pPr>
        <w:pStyle w:val="Normal"/>
        <w:ind w:left="360" w:hanging="180"/>
      </w:pPr>
      <w:r>
        <w:t xml:space="preserve">• снижение операционных, финансовых и репутационных рисков, связанных с обработкой информации.</w:t>
      </w:r>
    </w:p>
    <w:p>
      <w:pPr>
        <w:pStyle w:val="Heading1"/>
      </w:pPr>
      <w:r>
        <w:t xml:space="preserve">2\. Область применения</w:t>
      </w:r>
    </w:p>
    <w:p>
      <w:pPr>
        <w:pStyle w:val="Normal"/>
      </w:pPr>
      <w:r>
        <w:t xml:space="preserve">Политика обязательна для исполнения:</w:t>
      </w:r>
    </w:p>
    <w:p>
      <w:pPr>
        <w:pStyle w:val="Normal"/>
        <w:ind w:left="360" w:hanging="180"/>
      </w:pPr>
      <w:r>
        <w:t xml:space="preserve">• всеми штатными и внештатными работниками Компании;</w:t>
      </w:r>
    </w:p>
    <w:p>
      <w:pPr>
        <w:pStyle w:val="Normal"/>
        <w:ind w:left="360" w:hanging="180"/>
      </w:pPr>
      <w:r>
        <w:t xml:space="preserve">• всеми подрядчиками, консультантами и иными третьими лицами, имеющими доступ к информационным активам Компании;</w:t>
      </w:r>
    </w:p>
    <w:p>
      <w:pPr>
        <w:pStyle w:val="Normal"/>
        <w:ind w:left="360" w:hanging="180"/>
      </w:pPr>
      <w:r>
        <w:t xml:space="preserve">• во всех информационных системах, обрабатывающих данные пользователей сервиса SafeLaw, включая системы, размещённые у третьих сторон (TPSP).</w:t>
      </w:r>
    </w:p>
    <w:p>
      <w:pPr>
        <w:pStyle w:val="Normal"/>
      </w:pPr>
      <w:r>
        <w:t xml:space="preserve">Положения Политики распространяются на все формы обработки информации: электронную, бумажную и устную.</w:t>
      </w:r>
    </w:p>
    <w:p>
      <w:pPr>
        <w:pStyle w:val="Heading1"/>
      </w:pPr>
      <w:r>
        <w:t xml:space="preserve">3\. Термины и определения</w:t>
      </w:r>
    </w:p>
    <w:p>
      <w:pPr>
        <w:pStyle w:val="Normal"/>
      </w:pPr>
      <w:r>
        <w:rPr>
          <w:b/>
        </w:rPr>
        <w:t xml:space="preserve">PAN (Primary Account Number)</w:t>
      </w:r>
      <w:r>
        <w:t xml:space="preserve"> — основной номер платёжной карты (12–19 цифр).</w:t>
      </w:r>
    </w:p>
    <w:p>
      <w:pPr>
        <w:pStyle w:val="Normal"/>
      </w:pPr>
      <w:r>
        <w:rPr>
          <w:b/>
        </w:rPr>
        <w:t xml:space="preserve">CHD (Cardholder Data)</w:t>
      </w:r>
      <w:r>
        <w:t xml:space="preserve"> — данные держателя карты: PAN, имя держателя, срок действия, сервисный код.</w:t>
      </w:r>
    </w:p>
    <w:p>
      <w:pPr>
        <w:pStyle w:val="Normal"/>
      </w:pPr>
      <w:r>
        <w:rPr>
          <w:b/>
        </w:rPr>
        <w:t xml:space="preserve">SAD (Sensitive Authentication Data)</w:t>
      </w:r>
      <w:r>
        <w:t xml:space="preserve"> — чувствительные аутентификационные данные: CVV/CVC, PIN, данные магнитной полосы.</w:t>
      </w:r>
    </w:p>
    <w:p>
      <w:pPr>
        <w:pStyle w:val="Normal"/>
      </w:pPr>
      <w:r>
        <w:rPr>
          <w:b/>
        </w:rPr>
        <w:t xml:space="preserve">CDE (Cardholder Data Environment)</w:t>
      </w:r>
      <w:r>
        <w:t xml:space="preserve"> — среда обработки данных платёжных карт. В случае Компании CDE минимизирована: PAN и SAD никогда не передаются и не хранятся на серверах Компании, а обрабатываются исключительно платёжным шлюзом платёжного провайдера (FreedomPay, TPSP).</w:t>
      </w:r>
    </w:p>
    <w:p>
      <w:pPr>
        <w:pStyle w:val="Normal"/>
      </w:pPr>
      <w:r>
        <w:rPr>
          <w:b/>
        </w:rPr>
        <w:t xml:space="preserve">TPSP (Third-Party Service Provider)</w:t>
      </w:r>
      <w:r>
        <w:t xml:space="preserve"> — поставщик услуг, имеющий доступ к данным платёжных карт либо могущий повлиять на безопасность CDE Компании.</w:t>
      </w:r>
    </w:p>
    <w:p>
      <w:pPr>
        <w:pStyle w:val="Normal"/>
      </w:pPr>
      <w:r>
        <w:rPr>
          <w:b/>
        </w:rPr>
        <w:t xml:space="preserve">PCI DSS</w:t>
      </w:r>
      <w:r>
        <w:t xml:space="preserve"> — Payment Card Industry Data Security Standard, международный стандарт безопасности данных индустрии платёжных карт.</w:t>
      </w:r>
    </w:p>
    <w:p>
      <w:pPr>
        <w:pStyle w:val="Normal"/>
      </w:pPr>
      <w:r>
        <w:rPr>
          <w:b/>
        </w:rPr>
        <w:t xml:space="preserve">SAQ A</w:t>
      </w:r>
      <w:r>
        <w:t xml:space="preserve"> — Self-Assessment Questionnaire A, опросник самооценки соответствия PCI DSS для мерчантов с полным аутсорсингом обработки CHD.</w:t>
      </w:r>
    </w:p>
    <w:p>
      <w:pPr>
        <w:pStyle w:val="Normal"/>
      </w:pPr>
      <w:r>
        <w:rPr>
          <w:b/>
        </w:rPr>
        <w:t xml:space="preserve">MFA (Multi-Factor Authentication)</w:t>
      </w:r>
      <w:r>
        <w:t xml:space="preserve"> — многофакторная аутентификация.</w:t>
      </w:r>
    </w:p>
    <w:p>
      <w:pPr>
        <w:pStyle w:val="Normal"/>
      </w:pPr>
      <w:r>
        <w:rPr>
          <w:b/>
        </w:rPr>
        <w:t xml:space="preserve">Информационный актив</w:t>
      </w:r>
      <w:r>
        <w:t xml:space="preserve"> — любая информация и её носители, имеющие ценность для Компании.</w:t>
      </w:r>
    </w:p>
    <w:p>
      <w:pPr>
        <w:pStyle w:val="Normal"/>
      </w:pPr>
      <w:r>
        <w:rPr>
          <w:b/>
        </w:rPr>
        <w:t xml:space="preserve">Инцидент информационной безопасности</w:t>
      </w:r>
      <w:r>
        <w:t xml:space="preserve"> — одно или несколько нежелательных или непредвиденных событий, угрожающих безопасности информации.</w:t>
      </w:r>
    </w:p>
    <w:p>
      <w:pPr>
        <w:pStyle w:val="Heading1"/>
      </w:pPr>
      <w:r>
        <w:t xml:space="preserve">4\. Принципы информационной безопасности</w:t>
      </w:r>
    </w:p>
    <w:p>
      <w:pPr>
        <w:pStyle w:val="Normal"/>
      </w:pPr>
      <w:r>
        <w:t xml:space="preserve">Деятельность Компании в области информационной безопасности основывается на следующих принципах:</w:t>
      </w:r>
    </w:p>
    <w:p>
      <w:pPr>
        <w:pStyle w:val="Heading2"/>
      </w:pPr>
      <w:r>
        <w:t xml:space="preserve">4.1. Конфиденциальность</w:t>
      </w:r>
    </w:p>
    <w:p>
      <w:pPr>
        <w:pStyle w:val="Normal"/>
      </w:pPr>
      <w:r>
        <w:t xml:space="preserve">Информация ограниченного доступа предоставляется только тем лицам, которым она необходима для выполнения служебных обязанностей (принцип «need-to-know»).</w:t>
      </w:r>
    </w:p>
    <w:p>
      <w:pPr>
        <w:pStyle w:val="Heading2"/>
      </w:pPr>
      <w:r>
        <w:t xml:space="preserve">4.2. Целостность</w:t>
      </w:r>
    </w:p>
    <w:p>
      <w:pPr>
        <w:pStyle w:val="Normal"/>
      </w:pPr>
      <w:r>
        <w:t xml:space="preserve">Информационные активы защищаются от несанкционированного изменения, искажения или уничтожения. Применяются механизмы контроля версий, журналирования действий и проверки целостности.</w:t>
      </w:r>
    </w:p>
    <w:p>
      <w:pPr>
        <w:pStyle w:val="Heading2"/>
      </w:pPr>
      <w:r>
        <w:t xml:space="preserve">4.3. Доступность</w:t>
      </w:r>
    </w:p>
    <w:p>
      <w:pPr>
        <w:pStyle w:val="Normal"/>
      </w:pPr>
      <w:r>
        <w:t xml:space="preserve">Информационные системы и данные доступны уполномоченным пользователям тогда, когда это необходимо для выполнения служебных обязанностей. Обеспечиваются резервное копирование, отказоустойчивость и план непрерывности деятельности.</w:t>
      </w:r>
    </w:p>
    <w:p>
      <w:pPr>
        <w:pStyle w:val="Heading2"/>
      </w:pPr>
      <w:r>
        <w:t xml:space="preserve">4.4. Минимизация данных</w:t>
      </w:r>
    </w:p>
    <w:p>
      <w:pPr>
        <w:pStyle w:val="Normal"/>
      </w:pPr>
      <w:r>
        <w:t xml:space="preserve">Компания не собирает, не хранит и не обрабатывает данные платёжных карт (PAN, SAD) на собственной инфраструктуре. Обработка платежей полностью передана внешним платёжным провайдерам — FreedomPay, Click и Payme — через redirect flow. Подтверждение соответствия платёжного провайдера требованиям PCI DSS запрашивается в порядке, установленном разделом 11 настоящей Политики и «Политикой управления поставщиками услуг» (TPSP-01).</w:t>
      </w:r>
    </w:p>
    <w:p>
      <w:pPr>
        <w:pStyle w:val="Heading2"/>
      </w:pPr>
      <w:r>
        <w:t xml:space="preserve">4.5. Защита по умолчанию (Security by Default)</w:t>
      </w:r>
    </w:p>
    <w:p>
      <w:pPr>
        <w:pStyle w:val="Normal"/>
      </w:pPr>
      <w:r>
        <w:t xml:space="preserve">Новые системы, приложения и сервисы проектируются и развёртываются с включёнными по умолчанию мерами безопасности.</w:t>
      </w:r>
    </w:p>
    <w:p>
      <w:pPr>
        <w:pStyle w:val="Heading1"/>
      </w:pPr>
      <w:r>
        <w:t xml:space="preserve">5\. Защита данных платёжных карт</w:t>
      </w:r>
    </w:p>
    <w:p>
      <w:pPr>
        <w:pStyle w:val="Heading2"/>
      </w:pPr>
      <w:r>
        <w:t xml:space="preserve">5.1. Архитектура минимизации CDE</w:t>
      </w:r>
    </w:p>
    <w:p>
      <w:pPr>
        <w:pStyle w:val="Normal"/>
      </w:pPr>
      <w:r>
        <w:t xml:space="preserve">Компания реализует архитектуру с минимальной CDE:</w:t>
      </w:r>
    </w:p>
    <w:p>
      <w:pPr>
        <w:pStyle w:val="Normal"/>
        <w:ind w:left="360" w:hanging="180"/>
      </w:pPr>
      <w:r>
        <w:t xml:space="preserve">• пользователь инициирует оплату на сайте safelaw.ai;</w:t>
      </w:r>
    </w:p>
    <w:p>
      <w:pPr>
        <w:pStyle w:val="Normal"/>
        <w:ind w:left="360" w:hanging="180"/>
      </w:pPr>
      <w:r>
        <w:t xml:space="preserve">• сайт перенаправляет (HTTP 302 redirect) пользователя на платёжную страницу, размещённую на инфраструктуре платёжного провайдера (FreedomPay, Click или Payme);</w:t>
      </w:r>
    </w:p>
    <w:p>
      <w:pPr>
        <w:pStyle w:val="Normal"/>
        <w:ind w:left="360" w:hanging="180"/>
      </w:pPr>
      <w:r>
        <w:t xml:space="preserve">• ввод номера карты, срока действия, CVV и иных платёжных реквизитов осуществляется исключительно на стороне платёжного провайдера;</w:t>
      </w:r>
    </w:p>
    <w:p>
      <w:pPr>
        <w:pStyle w:val="Normal"/>
        <w:ind w:left="360" w:hanging="180"/>
      </w:pPr>
      <w:r>
        <w:t xml:space="preserve">• после завершения операции (успех/отказ) пользователь возвращается на safelaw.ai с идентификатором транзакции; PAN и SAD не передаются на серверы Компании.</w:t>
      </w:r>
    </w:p>
    <w:p>
      <w:pPr>
        <w:pStyle w:val="Normal"/>
      </w:pPr>
      <w:r>
        <w:t xml:space="preserve">Данная архитектура соответствует критериям применимости опросника SAQ A в редакции PCI DSS v4.0.1 r1 (январь 2025).</w:t>
      </w:r>
    </w:p>
    <w:p>
      <w:pPr>
        <w:pStyle w:val="Heading2"/>
      </w:pPr>
      <w:r>
        <w:t xml:space="preserve">5.2. Запрет на хранение и обработку CHD</w:t>
      </w:r>
    </w:p>
    <w:p>
      <w:pPr>
        <w:pStyle w:val="Normal"/>
      </w:pPr>
      <w:r>
        <w:t xml:space="preserve">Категорически запрещается:</w:t>
      </w:r>
    </w:p>
    <w:p>
      <w:pPr>
        <w:pStyle w:val="Normal"/>
        <w:ind w:left="360" w:hanging="180"/>
      </w:pPr>
      <w:r>
        <w:t xml:space="preserve">• сохранять PAN, CVV/CVC, PIN-коды, данные магнитной полосы в каких-либо системах, базах данных, логах, файлах резервных копий или иных хранилищах Компании;</w:t>
      </w:r>
    </w:p>
    <w:p>
      <w:pPr>
        <w:pStyle w:val="Normal"/>
        <w:ind w:left="360" w:hanging="180"/>
      </w:pPr>
      <w:r>
        <w:t xml:space="preserve">• принимать платёжные реквизиты по электронной почте, мессенджерам, телефону, бумажным носителям или иным каналам, минующим платёжный шлюз платёжного провайдера (FreedomPay);</w:t>
      </w:r>
    </w:p>
    <w:p>
      <w:pPr>
        <w:pStyle w:val="Normal"/>
        <w:ind w:left="360" w:hanging="180"/>
      </w:pPr>
      <w:r>
        <w:t xml:space="preserve">• создавать снимки экрана платёжных страниц, содержащие платёжные реквизиты пользователей;</w:t>
      </w:r>
    </w:p>
    <w:p>
      <w:pPr>
        <w:pStyle w:val="Normal"/>
        <w:ind w:left="360" w:hanging="180"/>
      </w:pPr>
      <w:r>
        <w:t xml:space="preserve">• разрабатывать или внедрять механизмы, которые могли бы привести к попаданию PAN или SAD в инфраструктуру Компании, без предварительной оценки соответствия PCI DSS уровня SAQ A-EP или SAQ D.</w:t>
      </w:r>
    </w:p>
    <w:p>
      <w:pPr>
        <w:pStyle w:val="Heading2"/>
      </w:pPr>
      <w:r>
        <w:t xml:space="preserve">5.3. Маскирование и токенизация</w:t>
      </w:r>
    </w:p>
    <w:p>
      <w:pPr>
        <w:pStyle w:val="Normal"/>
      </w:pPr>
      <w:r>
        <w:t xml:space="preserve">В случае, если в системах Компании отображается информация о платёжной операции (например, в личном кабинете пользователя или в служебных отчётах), допускается отображение только последних 4 цифр PAN. Иные элементы PAN маскируются.</w:t>
      </w:r>
    </w:p>
    <w:p>
      <w:pPr>
        <w:pStyle w:val="Heading2"/>
      </w:pPr>
      <w:r>
        <w:t xml:space="preserve">5.4. Передача данных</w:t>
      </w:r>
    </w:p>
    <w:p>
      <w:pPr>
        <w:pStyle w:val="Normal"/>
      </w:pPr>
      <w:r>
        <w:t xml:space="preserve">Все каналы передачи данных между Компанией и пользователями, а также между Компанией и TPSP, защищаются протоколом TLS версии 1.2 или выше. Передача нешифрованных данных запрещена.</w:t>
      </w:r>
    </w:p>
    <w:p>
      <w:pPr>
        <w:pStyle w:val="Heading1"/>
      </w:pPr>
      <w:r>
        <w:t xml:space="preserve">6\. Управление доступом</w:t>
      </w:r>
    </w:p>
    <w:p>
      <w:pPr>
        <w:pStyle w:val="Heading2"/>
      </w:pPr>
      <w:r>
        <w:t xml:space="preserve">6.1. Идентификация и аутентификация</w:t>
      </w:r>
    </w:p>
    <w:p>
      <w:pPr>
        <w:pStyle w:val="Normal"/>
      </w:pPr>
      <w:r>
        <w:t xml:space="preserve">Каждому пользователю информационных систем Компании присваивается уникальный идентификатор. Использование общих, групповых или анонимных учётных записей запрещено.</w:t>
      </w:r>
    </w:p>
    <w:p>
      <w:pPr>
        <w:pStyle w:val="Heading2"/>
      </w:pPr>
      <w:r>
        <w:t xml:space="preserve">6.2. Парольная политика</w:t>
      </w:r>
    </w:p>
    <w:p>
      <w:pPr>
        <w:pStyle w:val="Normal"/>
        <w:ind w:left="360" w:hanging="180"/>
      </w:pPr>
      <w:r>
        <w:t xml:space="preserve">• минимальная длина пароля — 12 символов;</w:t>
      </w:r>
    </w:p>
    <w:p>
      <w:pPr>
        <w:pStyle w:val="Normal"/>
        <w:ind w:left="360" w:hanging="180"/>
      </w:pPr>
      <w:r>
        <w:t xml:space="preserve">• пароль должен содержать символы как минимум двух категорий (буквы и цифры);</w:t>
      </w:r>
    </w:p>
    <w:p>
      <w:pPr>
        <w:pStyle w:val="Normal"/>
        <w:ind w:left="360" w:hanging="180"/>
      </w:pPr>
      <w:r>
        <w:t xml:space="preserve">• пароли изменяются не реже одного раза в 90 дней либо при условии динамического анализа состояния безопасности учётной записи;</w:t>
      </w:r>
    </w:p>
    <w:p>
      <w:pPr>
        <w:pStyle w:val="Normal"/>
        <w:ind w:left="360" w:hanging="180"/>
      </w:pPr>
      <w:r>
        <w:t xml:space="preserve">• при первой авторизации пользователь обязан сменить пароль, выданный администратором;</w:t>
      </w:r>
    </w:p>
    <w:p>
      <w:pPr>
        <w:pStyle w:val="Normal"/>
        <w:ind w:left="360" w:hanging="180"/>
      </w:pPr>
      <w:r>
        <w:t xml:space="preserve">• хранение паролей в открытом виде запрещено; применяется хэширование с использованием стойких алгоритмов (bcrypt, Argon2 или эквивалентных).</w:t>
      </w:r>
    </w:p>
    <w:p>
      <w:pPr>
        <w:pStyle w:val="Heading2"/>
      </w:pPr>
      <w:r>
        <w:t xml:space="preserve">6.3. Многофакторная аутентификация (MFA)</w:t>
      </w:r>
    </w:p>
    <w:p>
      <w:pPr>
        <w:pStyle w:val="Normal"/>
      </w:pPr>
      <w:r>
        <w:t xml:space="preserve">Многофакторная аутентификация обязательна для:</w:t>
      </w:r>
    </w:p>
    <w:p>
      <w:pPr>
        <w:pStyle w:val="Normal"/>
        <w:ind w:left="360" w:hanging="180"/>
      </w:pPr>
      <w:r>
        <w:t xml:space="preserve">• доступа к административным консолям и серверам Компании;</w:t>
      </w:r>
    </w:p>
    <w:p>
      <w:pPr>
        <w:pStyle w:val="Normal"/>
        <w:ind w:left="360" w:hanging="180"/>
      </w:pPr>
      <w:r>
        <w:t xml:space="preserve">• доступа к Google Workspace, Namecheap, репозиториям исходного кода и иным критическим сервисам;</w:t>
      </w:r>
    </w:p>
    <w:p>
      <w:pPr>
        <w:pStyle w:val="Normal"/>
        <w:ind w:left="360" w:hanging="180"/>
      </w:pPr>
      <w:r>
        <w:t xml:space="preserve">• удалённого доступа к корпоративным ресурсам;</w:t>
      </w:r>
    </w:p>
    <w:p>
      <w:pPr>
        <w:pStyle w:val="Normal"/>
        <w:ind w:left="360" w:hanging="180"/>
      </w:pPr>
      <w:r>
        <w:t xml:space="preserve">• доступа к личным кабинетам платёжных провайдеров (FreedomPay, Click, Payme) и иным платёжным сервисам.</w:t>
      </w:r>
    </w:p>
    <w:p>
      <w:pPr>
        <w:pStyle w:val="Heading2"/>
      </w:pPr>
      <w:r>
        <w:t xml:space="preserve">6.4. Принцип минимальных привилегий</w:t>
      </w:r>
    </w:p>
    <w:p>
      <w:pPr>
        <w:pStyle w:val="Normal"/>
      </w:pPr>
      <w:r>
        <w:t xml:space="preserve">Права доступа предоставляются исходя из служебной необходимости. Привилегированные учётные записи (administrator, root, owner) используются только для выполнения соответствующих задач и не используются для повседневной работы.</w:t>
      </w:r>
    </w:p>
    <w:p>
      <w:pPr>
        <w:pStyle w:val="Heading2"/>
      </w:pPr>
      <w:r>
        <w:t xml:space="preserve">6.5. Управление учётными записями</w:t>
      </w:r>
    </w:p>
    <w:p>
      <w:pPr>
        <w:pStyle w:val="Normal"/>
        <w:ind w:left="360" w:hanging="180"/>
      </w:pPr>
      <w:r>
        <w:t xml:space="preserve">• создание учётных записей осуществляется по письменному обращению руководителя на основании служебной необходимости;</w:t>
      </w:r>
    </w:p>
    <w:p>
      <w:pPr>
        <w:pStyle w:val="Normal"/>
        <w:ind w:left="360" w:hanging="180"/>
      </w:pPr>
      <w:r>
        <w:t xml:space="preserve">• права доступа пересматриваются не реже одного раза в шесть месяцев;</w:t>
      </w:r>
    </w:p>
    <w:p>
      <w:pPr>
        <w:pStyle w:val="Normal"/>
        <w:ind w:left="360" w:hanging="180"/>
      </w:pPr>
      <w:r>
        <w:t xml:space="preserve">• при увольнении работника или прекращении договора с подрядчиком учётные записи блокируются в день прекращения отношений;</w:t>
      </w:r>
    </w:p>
    <w:p>
      <w:pPr>
        <w:pStyle w:val="Normal"/>
        <w:ind w:left="360" w:hanging="180"/>
      </w:pPr>
      <w:r>
        <w:t xml:space="preserve">• неактивные учётные записи блокируются через 90 дней неиспользования.</w:t>
      </w:r>
    </w:p>
    <w:p>
      <w:pPr>
        <w:pStyle w:val="Heading1"/>
      </w:pPr>
      <w:r>
        <w:t xml:space="preserve">7\. Криптографическая защита</w:t>
      </w:r>
    </w:p>
    <w:p>
      <w:pPr>
        <w:pStyle w:val="Normal"/>
        <w:ind w:left="360" w:hanging="180"/>
      </w:pPr>
      <w:r>
        <w:t xml:space="preserve">• для шифрования данных при передаче применяется TLS 1.2 или TLS 1.3 с использованием криптостойких шифров;</w:t>
      </w:r>
    </w:p>
    <w:p>
      <w:pPr>
        <w:pStyle w:val="Normal"/>
        <w:ind w:left="360" w:hanging="180"/>
      </w:pPr>
      <w:r>
        <w:t xml:space="preserve">• для хэширования паролей применяются алгоритмы bcrypt, Argon2 либо PBKDF2;</w:t>
      </w:r>
    </w:p>
    <w:p>
      <w:pPr>
        <w:pStyle w:val="Normal"/>
        <w:ind w:left="360" w:hanging="180"/>
      </w:pPr>
      <w:r>
        <w:t xml:space="preserve">• криптографические ключи хранятся отдельно от защищаемых ими данных, доступ к ключам имеют только уполномоченные лица;</w:t>
      </w:r>
    </w:p>
    <w:p>
      <w:pPr>
        <w:pStyle w:val="Normal"/>
        <w:ind w:left="360" w:hanging="180"/>
      </w:pPr>
      <w:r>
        <w:t xml:space="preserve">• используются современные TLS-сертификаты от доверенных удостоверяющих центров; сертификаты обновляются до истечения срока действия.</w:t>
      </w:r>
    </w:p>
    <w:p>
      <w:pPr>
        <w:pStyle w:val="Heading1"/>
      </w:pPr>
      <w:r>
        <w:t xml:space="preserve">8\. Управление уязвимостями</w:t>
      </w:r>
    </w:p>
    <w:p>
      <w:pPr>
        <w:pStyle w:val="Normal"/>
        <w:ind w:left="360" w:hanging="180"/>
      </w:pPr>
      <w:r>
        <w:t xml:space="preserve">• операционные системы и программное обеспечение серверов обновляются не реже одного раза в месяц; критические обновления безопасности устанавливаются в течение 30 дней с момента выхода;</w:t>
      </w:r>
    </w:p>
    <w:p>
      <w:pPr>
        <w:pStyle w:val="Normal"/>
        <w:ind w:left="360" w:hanging="180"/>
      </w:pPr>
      <w:r>
        <w:t xml:space="preserve">• доступ к серверам ограничен межсетевым экраном: открыты только необходимые для работы сервиса порты;</w:t>
      </w:r>
    </w:p>
    <w:p>
      <w:pPr>
        <w:pStyle w:val="Normal"/>
        <w:ind w:left="360" w:hanging="180"/>
      </w:pPr>
      <w:r>
        <w:t xml:space="preserve">• регулярно (не реже раза в квартал) выполняется сканирование на уязвимости публичных веб-сервисов;</w:t>
      </w:r>
    </w:p>
    <w:p>
      <w:pPr>
        <w:pStyle w:val="Normal"/>
        <w:ind w:left="360" w:hanging="180"/>
      </w:pPr>
      <w:r>
        <w:t xml:space="preserve">• при выявлении критических уязвимостей принимаются меры по их устранению в кратчайшие сроки.</w:t>
      </w:r>
    </w:p>
    <w:p>
      <w:pPr>
        <w:pStyle w:val="Heading1"/>
      </w:pPr>
      <w:r>
        <w:t xml:space="preserve">9\. Физическая безопасность</w:t>
      </w:r>
    </w:p>
    <w:p>
      <w:pPr>
        <w:pStyle w:val="Normal"/>
      </w:pPr>
      <w:r>
        <w:t xml:space="preserve">Информационные системы Компании размещаются в дата-центре поставщика хостинговых услуг (Netcup GmbH, Германия), который обеспечивает соответствующие меры физической безопасности (контроль доступа, видеонаблюдение, защита от пожара, резервное электропитание). Компания не имеет собственного серверного оборудования.</w:t>
      </w:r>
    </w:p>
    <w:p>
      <w:pPr>
        <w:pStyle w:val="Normal"/>
      </w:pPr>
      <w:r>
        <w:t xml:space="preserve">Рабочие места работников должны быть защищены от несанкционированного доступа: при отсутствии работника на рабочем месте экран блокируется, бумажные документы убираются.</w:t>
      </w:r>
    </w:p>
    <w:p>
      <w:pPr>
        <w:pStyle w:val="Heading1"/>
      </w:pPr>
      <w:r>
        <w:t xml:space="preserve">10\. Управление инцидентами</w:t>
      </w:r>
    </w:p>
    <w:p>
      <w:pPr>
        <w:pStyle w:val="Normal"/>
      </w:pPr>
      <w:r>
        <w:t xml:space="preserve">Все инциденты информационной безопасности обрабатываются в соответствии с отдельным документом — «План реагирования на инциденты информационной безопасности» (IRP-01). Работники обязаны незамедлительно сообщать о любых подозрениях на инцидент по адресу security@safelaw.ai или по телефону +998 90 590 59 00.</w:t>
      </w:r>
    </w:p>
    <w:p>
      <w:pPr>
        <w:pStyle w:val="Heading1"/>
      </w:pPr>
      <w:r>
        <w:t xml:space="preserve">11\. Управление третьими сторонами</w:t>
      </w:r>
    </w:p>
    <w:p>
      <w:pPr>
        <w:pStyle w:val="Normal"/>
      </w:pPr>
      <w:r>
        <w:t xml:space="preserve">Взаимодействие с поставщиками услуг (TPSP), имеющими доступ к данным Компании или влияющими на безопасность CDE, регламентируется отдельным документом — «Политика управления поставщиками услуг» (TPSP-01).</w:t>
      </w:r>
    </w:p>
    <w:p>
      <w:pPr>
        <w:pStyle w:val="Normal"/>
      </w:pPr>
      <w:r>
        <w:t xml:space="preserve">Ключевые TPSP Компании: FreedomPay, Click и Payme (платёжные провайдеры), Netcup GmbH (хостинг), Google LLC (Workspace), Anthropic PBC (API моделей ИИ), Voyage AI (Rerank API), OpenAI, OpCo, LLC (API моделей ИИ), Namecheap, Inc. (доменный регистратор).</w:t>
      </w:r>
    </w:p>
    <w:p>
      <w:pPr>
        <w:pStyle w:val="Heading1"/>
      </w:pPr>
      <w:r>
        <w:t xml:space="preserve">12\. Обучение и осведомлённость</w:t>
      </w:r>
    </w:p>
    <w:p>
      <w:pPr>
        <w:pStyle w:val="Normal"/>
        <w:ind w:left="360" w:hanging="180"/>
      </w:pPr>
      <w:r>
        <w:t xml:space="preserve">• все работники проходят первичный инструктаж по информационной безопасности при приёме на работу;</w:t>
      </w:r>
    </w:p>
    <w:p>
      <w:pPr>
        <w:pStyle w:val="Normal"/>
        <w:ind w:left="360" w:hanging="180"/>
      </w:pPr>
      <w:r>
        <w:t xml:space="preserve">• повторное обучение проводится не реже одного раза в год;</w:t>
      </w:r>
    </w:p>
    <w:p>
      <w:pPr>
        <w:pStyle w:val="Normal"/>
        <w:ind w:left="360" w:hanging="180"/>
      </w:pPr>
      <w:r>
        <w:t xml:space="preserve">• работники, имеющие доступ к чувствительным данным, проходят дополнительные тематические тренинги;</w:t>
      </w:r>
    </w:p>
    <w:p>
      <w:pPr>
        <w:pStyle w:val="Normal"/>
        <w:ind w:left="360" w:hanging="180"/>
      </w:pPr>
      <w:r>
        <w:t xml:space="preserve">• обучение охватывает темы: парольная безопасность, фишинг, социальная инженерия, безопасное использование электронной почты, обработка инцидентов.</w:t>
      </w:r>
    </w:p>
    <w:p>
      <w:pPr>
        <w:pStyle w:val="Heading1"/>
      </w:pPr>
      <w:r>
        <w:t xml:space="preserve">13\. Соответствие законодательству</w:t>
      </w:r>
    </w:p>
    <w:p>
      <w:pPr>
        <w:pStyle w:val="Normal"/>
      </w:pPr>
      <w:r>
        <w:t xml:space="preserve">Компания соблюдает требования законодательства Республики Узбекистан, в том числе:</w:t>
      </w:r>
    </w:p>
    <w:p>
      <w:pPr>
        <w:pStyle w:val="Normal"/>
        <w:ind w:left="360" w:hanging="180"/>
      </w:pPr>
      <w:r>
        <w:t xml:space="preserve">• Закона РУз «О персональных данных» № ЗРУ-547 от 02.07.2019;</w:t>
      </w:r>
    </w:p>
    <w:p>
      <w:pPr>
        <w:pStyle w:val="Normal"/>
        <w:ind w:left="360" w:hanging="180"/>
      </w:pPr>
      <w:r>
        <w:t xml:space="preserve">• Закона РУз «Об информации» № 530-I от 11.12.2003;</w:t>
      </w:r>
    </w:p>
    <w:p>
      <w:pPr>
        <w:pStyle w:val="Normal"/>
        <w:ind w:left="360" w:hanging="180"/>
      </w:pPr>
      <w:r>
        <w:t xml:space="preserve">• Закона РУз «Об электронной коммерции» № ЗРУ-792 от 22.05.2022;</w:t>
      </w:r>
    </w:p>
    <w:p>
      <w:pPr>
        <w:pStyle w:val="Normal"/>
        <w:ind w:left="360" w:hanging="180"/>
      </w:pPr>
      <w:r>
        <w:t xml:space="preserve">• требований Центрального банка Республики Узбекистан в части защиты платёжной информации;</w:t>
      </w:r>
    </w:p>
    <w:p>
      <w:pPr>
        <w:pStyle w:val="Normal"/>
        <w:ind w:left="360" w:hanging="180"/>
      </w:pPr>
      <w:r>
        <w:t xml:space="preserve">• требований международного стандарта PCI DSS v4.0.1 в части, применимой к мерчантам уровня SAQ A.</w:t>
      </w:r>
    </w:p>
    <w:p>
      <w:pPr>
        <w:pStyle w:val="Heading1"/>
      </w:pPr>
      <w:r>
        <w:t xml:space="preserve">14\. Роли и ответственность</w:t>
      </w:r>
    </w:p>
    <w:p>
      <w:pPr>
        <w:pStyle w:val="Heading2"/>
      </w:pPr>
      <w:r>
        <w:t xml:space="preserve">14.1. Директор Компании</w:t>
      </w:r>
    </w:p>
    <w:p>
      <w:pPr>
        <w:pStyle w:val="Normal"/>
      </w:pPr>
      <w:r>
        <w:t xml:space="preserve">Несёт общую ответственность за информационную безопасность Компании, утверждает настоящую Политику и связанные документы, принимает решения об эскалации инцидентов, выделяет ресурсы для реализации Политики.</w:t>
      </w:r>
    </w:p>
    <w:p>
      <w:pPr>
        <w:pStyle w:val="Heading2"/>
      </w:pPr>
      <w:r>
        <w:t xml:space="preserve">14.2. Роли, назначаемые приказом директора</w:t>
      </w:r>
    </w:p>
    <w:p>
      <w:pPr>
        <w:pStyle w:val="Normal"/>
      </w:pPr>
      <w:r>
        <w:t xml:space="preserve">Каждая из перечисленных ниже ролей возлагается приказом директора на работника Общества; в настоящей Политике указывается только роль, без фамилий:</w:t>
      </w:r>
    </w:p>
    <w:p>
      <w:pPr>
        <w:pStyle w:val="Normal"/>
        <w:ind w:left="360" w:hanging="180"/>
      </w:pPr>
      <w:r>
        <w:t xml:space="preserve">• </w:t>
      </w:r>
      <w:r>
        <w:rPr>
          <w:b/>
        </w:rPr>
        <w:t xml:space="preserve">Ответственный за информационную безопасность</w:t>
      </w:r>
      <w:r>
        <w:t xml:space="preserve"> — координирует деятельность по информационной безопасности, организует обучение, контролирует соответствие требованиям PCI DSS, ведёт журнал инцидентов;</w:t>
      </w:r>
    </w:p>
    <w:p>
      <w:pPr>
        <w:pStyle w:val="Normal"/>
        <w:ind w:left="360" w:hanging="180"/>
      </w:pPr>
      <w:r>
        <w:t xml:space="preserve">• </w:t>
      </w:r>
      <w:r>
        <w:rPr>
          <w:b/>
        </w:rPr>
        <w:t xml:space="preserve">Ответственный за обработку персональных данных</w:t>
      </w:r>
      <w:r>
        <w:t xml:space="preserve"> — контролирует соблюдение требований законодательства о персональных данных, готовит уведомления уполномоченного государственного органа и затронутых пользователей;</w:t>
      </w:r>
    </w:p>
    <w:p>
      <w:pPr>
        <w:pStyle w:val="Normal"/>
        <w:ind w:left="360" w:hanging="180"/>
      </w:pPr>
      <w:r>
        <w:t xml:space="preserve">• </w:t>
      </w:r>
      <w:r>
        <w:rPr>
          <w:b/>
        </w:rPr>
        <w:t xml:space="preserve">Руководитель команды реагирования на инциденты</w:t>
      </w:r>
      <w:r>
        <w:t xml:space="preserve"> — координирует реагирование на инциденты в порядке, установленном Планом реагирования на инциденты информационной безопасности (IRP-01);</w:t>
      </w:r>
    </w:p>
    <w:p>
      <w:pPr>
        <w:pStyle w:val="Normal"/>
        <w:ind w:left="360" w:hanging="180"/>
      </w:pPr>
      <w:r>
        <w:t xml:space="preserve">• </w:t>
      </w:r>
      <w:r>
        <w:rPr>
          <w:b/>
        </w:rPr>
        <w:t xml:space="preserve">Администратор инфраструктуры</w:t>
      </w:r>
      <w:r>
        <w:t xml:space="preserve"> — отвечает за настройку, обновление и защиту серверов, сетей, баз данных и учётных записей в информационных системах Компании;</w:t>
      </w:r>
    </w:p>
    <w:p>
      <w:pPr>
        <w:pStyle w:val="Normal"/>
        <w:ind w:left="360" w:hanging="180"/>
      </w:pPr>
      <w:r>
        <w:t xml:space="preserve">• </w:t>
      </w:r>
      <w:r>
        <w:rPr>
          <w:b/>
        </w:rPr>
        <w:t xml:space="preserve">Ответственный за работу с поставщиками услуг</w:t>
      </w:r>
      <w:r>
        <w:t xml:space="preserve"> — ведёт реестр TPSP и контролирует их соответствие в порядке, установленном Политикой управления поставщиками услуг (TPSP-01).</w:t>
      </w:r>
    </w:p>
    <w:p>
      <w:pPr>
        <w:pStyle w:val="Normal"/>
      </w:pPr>
      <w:r>
        <w:t xml:space="preserve">Совмещение нескольких ролей одним работником допускается по решению директора, за исключением процедур, которые требуют участия двух разных ролей (в частности, когда уведомляющая и уведомляемая стороны должны быть разными).</w:t>
      </w:r>
    </w:p>
    <w:p>
      <w:pPr>
        <w:pStyle w:val="Heading2"/>
      </w:pPr>
      <w:r>
        <w:t xml:space="preserve">14.3. Все работники</w:t>
      </w:r>
    </w:p>
    <w:p>
      <w:pPr>
        <w:pStyle w:val="Normal"/>
        <w:ind w:left="360" w:hanging="180"/>
      </w:pPr>
      <w:r>
        <w:t xml:space="preserve">• соблюдают настоящую Политику и связанные с ней документы;</w:t>
      </w:r>
    </w:p>
    <w:p>
      <w:pPr>
        <w:pStyle w:val="Normal"/>
        <w:ind w:left="360" w:hanging="180"/>
      </w:pPr>
      <w:r>
        <w:t xml:space="preserve">• незамедлительно сообщают о подозрениях на инциденты информационной безопасности по адресу security@safelaw.ai;</w:t>
      </w:r>
    </w:p>
    <w:p>
      <w:pPr>
        <w:pStyle w:val="Normal"/>
        <w:ind w:left="360" w:hanging="180"/>
      </w:pPr>
      <w:r>
        <w:t xml:space="preserve">• используют информационные активы Компании только в служебных целях;</w:t>
      </w:r>
    </w:p>
    <w:p>
      <w:pPr>
        <w:pStyle w:val="Normal"/>
        <w:ind w:left="360" w:hanging="180"/>
      </w:pPr>
      <w:r>
        <w:t xml:space="preserve">• обеспечивают сохранность учётных данных и не передают их третьим лицам.</w:t>
      </w:r>
    </w:p>
    <w:p>
      <w:pPr>
        <w:pStyle w:val="Heading1"/>
      </w:pPr>
      <w:r>
        <w:t xml:space="preserve">15\. Нарушения Политики</w:t>
      </w:r>
    </w:p>
    <w:p>
      <w:pPr>
        <w:pStyle w:val="Normal"/>
      </w:pPr>
      <w:r>
        <w:t xml:space="preserve">Нарушение положений настоящей Политики влечёт ответственность в соответствии с трудовым законодательством Республики Узбекистан, условиями трудового или гражданско-правового договора, а в установленных законом случаях — административную и уголовную ответственность.</w:t>
      </w:r>
    </w:p>
    <w:p>
      <w:pPr>
        <w:pStyle w:val="Heading1"/>
      </w:pPr>
      <w:r>
        <w:t xml:space="preserve">16\. Пересмотр и обновление</w:t>
      </w:r>
    </w:p>
    <w:p>
      <w:pPr>
        <w:pStyle w:val="Normal"/>
      </w:pPr>
      <w:r>
        <w:t xml:space="preserve">Настоящая Политика пересматривается не реже одного раза в 12 месяцев, а также при существенных изменениях бизнес-процессов, информационной инфраструктуры, нормативно-правовой базы или после крупных инцидентов информационной безопасности. Контроль соблюдения данного требования возлагается на ответственного за информационную безопасность.</w:t>
      </w:r>
    </w:p>
    <w:p>
      <w:pPr>
        <w:pStyle w:val="Heading1"/>
      </w:pPr>
      <w:r>
        <w:t xml:space="preserve">17\. Сведения о документе</w:t>
      </w:r>
    </w:p>
    <w:p>
      <w:pPr>
        <w:pStyle w:val="Normal"/>
      </w:pPr>
      <w:r>
        <w:rPr>
          <w:b/>
        </w:rPr>
        <w:t xml:space="preserve">Версия</w:t>
      </w:r>
    </w:p>
    <w:p>
      <w:pPr>
        <w:pStyle w:val="Normal"/>
      </w:pPr>
      <w:r>
        <w:rPr>
          <w:b/>
        </w:rPr>
        <w:t xml:space="preserve">Дата</w:t>
      </w:r>
    </w:p>
    <w:p>
      <w:pPr>
        <w:pStyle w:val="Normal"/>
      </w:pPr>
      <w:r>
        <w:rPr>
          <w:b/>
        </w:rPr>
        <w:t xml:space="preserve">Изменения</w:t>
      </w:r>
    </w:p>
    <w:p>
      <w:pPr>
        <w:pStyle w:val="Normal"/>
      </w:pPr>
      <w:r>
        <w:rPr>
          <w:b/>
        </w:rPr>
        <w:t xml:space="preserve">Утвердил</w:t>
      </w:r>
    </w:p>
    <w:p>
      <w:pPr>
        <w:pStyle w:val="Normal"/>
      </w:pPr>
      <w:r>
        <w:t xml:space="preserve">1.0</w:t>
      </w:r>
    </w:p>
    <w:p>
      <w:pPr>
        <w:pStyle w:val="Normal"/>
      </w:pPr>
      <w:r>
        <w:t xml:space="preserve">15.05.2026</w:t>
      </w:r>
    </w:p>
    <w:p>
      <w:pPr>
        <w:pStyle w:val="Normal"/>
      </w:pPr>
      <w:r>
        <w:t xml:space="preserve">Первичное утверждение документа</w:t>
      </w:r>
    </w:p>
    <w:p>
      <w:pPr>
        <w:pStyle w:val="Normal"/>
      </w:pPr>
      <w:r>
        <w:t xml:space="preserve">Директор Общества</w:t>
      </w:r>
    </w:p>
    <w:p>
      <w:pPr>
        <w:pStyle w:val="Normal"/>
      </w:pPr>
      <w:r>
        <w:t xml:space="preserve">1.1</w:t>
      </w:r>
    </w:p>
    <w:p>
      <w:pPr>
        <w:pStyle w:val="Normal"/>
      </w:pPr>
      <w:r>
        <w:t xml:space="preserve">22.09.2026</w:t>
      </w:r>
    </w:p>
    <w:p>
      <w:pPr>
        <w:pStyle w:val="Normal"/>
      </w:pPr>
      <w:r>
        <w:t xml:space="preserve">Плановый пересмотр: роли, назначаемые приказом директора; контактные данные; реквизиты Общества</w:t>
      </w:r>
    </w:p>
    <w:p>
      <w:pPr>
        <w:pStyle w:val="Normal"/>
      </w:pPr>
      <w:r>
        <w:t xml:space="preserve">Директор Общества</w:t>
      </w:r>
    </w:p>
    <w:p>
      <w:pPr>
        <w:pStyle w:val="Normal"/>
      </w:pPr>
      <w:r>
        <w:t xml:space="preserve">1.2</w:t>
      </w:r>
    </w:p>
    <w:p>
      <w:pPr>
        <w:pStyle w:val="Normal"/>
      </w:pPr>
      <w:r>
        <w:t xml:space="preserve">30.10.2026</w:t>
      </w:r>
    </w:p>
    <w:p>
      <w:pPr>
        <w:pStyle w:val="Normal"/>
      </w:pPr>
      <w:r>
        <w:t xml:space="preserve">Внеплановый пересмотр: платёжные провайдеры Click и Payme; адрес security@safelaw.ai для сообщений об инцидентах; актуализирован перечень мер защиты и поставщиков услуг</w:t>
      </w:r>
    </w:p>
    <w:p>
      <w:pPr>
        <w:pStyle w:val="Normal"/>
      </w:pPr>
      <w:r>
        <w:t xml:space="preserve">Директор Общества</w:t>
      </w:r>
    </w:p>
    <w:p>
      <w:pPr>
        <w:pStyle w:val="Heading2"/>
      </w:pPr>
      <w:r>
        <w:t xml:space="preserve">Утверждение документа</w:t>
      </w:r>
    </w:p>
    <w:p>
      <w:pPr>
        <w:pStyle w:val="Normal"/>
      </w:pPr>
      <w:r>
        <w:t xml:space="preserve">Документ утверждён директором Общества и введён в действие с 15 мая 2026 года. Документ подлежит обязательному ознакомлению всеми работниками, подрядчиками и иными лицами, имеющими доступ к информационным активам Общества.</w:t>
      </w:r>
    </w:p>
    <w:sectPr>
      <w:pgSz w:w="11906" w:h="16838"/>
      <w:pgMar w:top="1134" w:right="907" w:bottom="1021" w:left="90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</w:rPr>
    </w:rPrDefault>
  </w:docDefaults>
  <w:style w:type="paragraph" w:styleId="Title">
    <w:name w:val="Title"/>
    <w:pPr>
      <w:spacing w:before="0" w:after="200"/>
    </w:pPr>
    <w:rPr>
      <w:rFonts w:ascii="Calibri" w:hAnsi="Calibri"/>
      <w:sz w:val="34"/>
      <w:b/>
    </w:rPr>
  </w:style>
  <w:style w:type="paragraph" w:styleId="Heading1">
    <w:name w:val="heading 1"/>
    <w:pPr>
      <w:spacing w:before="280" w:after="120"/>
      <w:outlineLvl w:val="0"/>
    </w:pPr>
    <w:rPr>
      <w:rFonts w:ascii="Calibri" w:hAnsi="Calibri"/>
      <w:sz w:val="27"/>
      <w:b/>
    </w:rPr>
  </w:style>
  <w:style w:type="paragraph" w:styleId="Heading2">
    <w:name w:val="heading 2"/>
    <w:pPr>
      <w:spacing w:before="240" w:after="100"/>
      <w:outlineLvl w:val="1"/>
    </w:pPr>
    <w:rPr>
      <w:rFonts w:ascii="Calibri" w:hAnsi="Calibri"/>
      <w:sz w:val="23"/>
      <w:b/>
    </w:rPr>
  </w:style>
  <w:style w:type="paragraph" w:styleId="Heading3">
    <w:name w:val="heading 3"/>
    <w:pPr>
      <w:spacing w:before="200" w:after="80"/>
      <w:outlineLvl w:val="2"/>
    </w:pPr>
    <w:rPr>
      <w:rFonts w:ascii="Calibri" w:hAnsi="Calibri"/>
      <w:sz w:val="21"/>
      <w:b/>
    </w:rPr>
  </w:style>
  <w:style w:type="paragraph" w:styleId="Normal">
    <w:name w:val="Normal"/>
    <w:pPr>
      <w:spacing w:before="0" w:after="120"/>
    </w:pPr>
    <w:rPr>
      <w:rFonts w:ascii="Calibri" w:hAnsi="Calibri"/>
      <w:sz w:val="21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