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Normal"/>
      </w:pPr>
      <w:r>
        <w:rPr>
          <w:b/>
        </w:rPr>
        <w:t xml:space="preserve">SELLAI LLC</w:t>
      </w:r>
    </w:p>
    <w:p>
      <w:pPr>
        <w:pStyle w:val="Normal"/>
      </w:pPr>
      <w:r>
        <w:t xml:space="preserve">SafeLaw Service (safelaw.ai)</w:t>
      </w:r>
    </w:p>
    <w:p>
      <w:pPr>
        <w:pStyle w:val="Normal"/>
      </w:pPr>
      <w:r>
        <w:t xml:space="preserve">TIN (STIR): 312530703</w:t>
      </w:r>
    </w:p>
    <w:p>
      <w:pPr>
        <w:pStyle w:val="Normal"/>
      </w:pPr>
      <w:r>
        <w:t xml:space="preserve">Address: 91/7 A. S. Pushkin St., Nukus, Republic of Karakalpakstan, Republic of Uzbekistan</w:t>
      </w:r>
    </w:p>
    <w:p>
      <w:pPr>
        <w:pStyle w:val="Normal"/>
      </w:pPr>
      <w:r>
        <w:t xml:space="preserve">Email: info@safelaw.ai. Phone: +998 90 590 59 00</w:t>
      </w:r>
    </w:p>
    <w:p>
      <w:pPr>
        <w:pStyle w:val="Normal"/>
      </w:pPr>
      <w:r>
        <w:rPr>
          <w:b/>
        </w:rPr>
        <w:t xml:space="preserve">THIRD-PARTY SERVICE PROVIDER MANAGEMENT POLICY</w:t>
      </w:r>
    </w:p>
    <w:p>
      <w:pPr>
        <w:pStyle w:val="Normal"/>
      </w:pPr>
      <w:r>
        <w:t xml:space="preserve">Document TPSP-01</w:t>
      </w:r>
    </w:p>
    <w:p>
      <w:pPr>
        <w:pStyle w:val="Normal"/>
      </w:pPr>
      <w:r>
        <w:t xml:space="preserve">Version 1.2</w:t>
      </w:r>
    </w:p>
    <w:p>
      <w:pPr>
        <w:pStyle w:val="Normal"/>
      </w:pPr>
      <w:r>
        <w:t xml:space="preserve">Effective date: 15 May 2026</w:t>
      </w:r>
    </w:p>
    <w:p>
      <w:pPr>
        <w:pStyle w:val="Normal"/>
      </w:pPr>
      <w:r>
        <w:t xml:space="preserve">Last review date: 30 October 2026</w:t>
      </w:r>
    </w:p>
    <w:p>
      <w:pPr>
        <w:pStyle w:val="Normal"/>
      </w:pPr>
      <w:r>
        <w:t xml:space="preserve">_Compliance: PCI DSS v4.0.1, SAQ A_</w:t>
      </w:r>
    </w:p>
    <w:p>
      <w:pPr>
        <w:pStyle w:val="Normal"/>
      </w:pPr>
      <w:r>
        <w:t xml:space="preserve">_Master language: Russian. In case of any discrepancy between the English translation and the Russian master, the Russian version shall prevail._</w:t>
      </w:r>
    </w:p>
    <w:p>
      <w:pPr>
        <w:pStyle w:val="Heading1"/>
      </w:pPr>
      <w:r>
        <w:t xml:space="preserve">1\. Purpose</w:t>
      </w:r>
    </w:p>
    <w:p>
      <w:pPr>
        <w:pStyle w:val="Normal"/>
      </w:pPr>
      <w:r>
        <w:t xml:space="preserve">This Third-Party Service Provider Management Policy (the «Policy») governs the selection, evaluation, contracting, monitoring and termination of relations of SELLAI LLC (the «Company») with third parties whose services may affect the security of user data, including payment cardholder data processed in connection with the SafeLaw service (safelaw.ai). The Policy is developed in accordance with PCI DSS v4.0.1 Requirement 12.8.</w:t>
      </w:r>
    </w:p>
    <w:p>
      <w:pPr>
        <w:pStyle w:val="Heading1"/>
      </w:pPr>
      <w:r>
        <w:t xml:space="preserve">2\. Scope</w:t>
      </w:r>
    </w:p>
    <w:p>
      <w:pPr>
        <w:pStyle w:val="Normal"/>
      </w:pPr>
      <w:r>
        <w:t xml:space="preserve">The Policy applies to all Third-Party Service Providers (TPSPs) that:</w:t>
      </w:r>
    </w:p>
    <w:p>
      <w:pPr>
        <w:pStyle w:val="Normal"/>
        <w:ind w:left="360" w:hanging="180"/>
      </w:pPr>
      <w:r>
        <w:t xml:space="preserve">• have access to payment cardholder data or may affect the security of the cardholder data environment (CDE);</w:t>
      </w:r>
    </w:p>
    <w:p>
      <w:pPr>
        <w:pStyle w:val="Normal"/>
        <w:ind w:left="360" w:hanging="180"/>
      </w:pPr>
      <w:r>
        <w:t xml:space="preserve">• process, store or transmit personal data of the Company's users;</w:t>
      </w:r>
    </w:p>
    <w:p>
      <w:pPr>
        <w:pStyle w:val="Normal"/>
        <w:ind w:left="360" w:hanging="180"/>
      </w:pPr>
      <w:r>
        <w:t xml:space="preserve">• provide infrastructure services supporting the Company's public services;</w:t>
      </w:r>
    </w:p>
    <w:p>
      <w:pPr>
        <w:pStyle w:val="Normal"/>
        <w:ind w:left="360" w:hanging="180"/>
      </w:pPr>
      <w:r>
        <w:t xml:space="preserve">• support or administer the Company's information systems.</w:t>
      </w:r>
    </w:p>
    <w:p>
      <w:pPr>
        <w:pStyle w:val="Heading1"/>
      </w:pPr>
      <w:r>
        <w:t xml:space="preserve">3\. Definitions</w:t>
      </w:r>
    </w:p>
    <w:p>
      <w:pPr>
        <w:pStyle w:val="Normal"/>
      </w:pPr>
      <w:r>
        <w:rPr>
          <w:b/>
        </w:rPr>
        <w:t xml:space="preserve">Third-Party Service Provider (TPSP)</w:t>
      </w:r>
      <w:r>
        <w:t xml:space="preserve"> — a legal entity or individual, other than a Company employee, providing services as set out in Section 2 of this Policy.</w:t>
      </w:r>
    </w:p>
    <w:p>
      <w:pPr>
        <w:pStyle w:val="Normal"/>
      </w:pPr>
      <w:r>
        <w:rPr>
          <w:b/>
        </w:rPr>
        <w:t xml:space="preserve">Due Diligence</w:t>
      </w:r>
      <w:r>
        <w:t xml:space="preserve"> — the process of evaluating a potential service provider's ability to safeguard data entrusted to them by the Company.</w:t>
      </w:r>
    </w:p>
    <w:p>
      <w:pPr>
        <w:pStyle w:val="Normal"/>
      </w:pPr>
      <w:r>
        <w:rPr>
          <w:b/>
        </w:rPr>
        <w:t xml:space="preserve">Attestation of Compliance (AoC)</w:t>
      </w:r>
      <w:r>
        <w:t xml:space="preserve"> — a document evidencing the service provider's compliance with PCI DSS requirements.</w:t>
      </w:r>
    </w:p>
    <w:p>
      <w:pPr>
        <w:pStyle w:val="Normal"/>
      </w:pPr>
      <w:r>
        <w:rPr>
          <w:b/>
        </w:rPr>
        <w:t xml:space="preserve">DPA (Data Processing Agreement)</w:t>
      </w:r>
      <w:r>
        <w:t xml:space="preserve"> — an agreement on the processing of personal data between the Company (controller) and a service provider (processor).</w:t>
      </w:r>
    </w:p>
    <w:p>
      <w:pPr>
        <w:pStyle w:val="Heading1"/>
      </w:pPr>
      <w:r>
        <w:t xml:space="preserve">4\. Service Provider Register</w:t>
      </w:r>
    </w:p>
    <w:p>
      <w:pPr>
        <w:pStyle w:val="Normal"/>
      </w:pPr>
      <w:r>
        <w:t xml:space="preserve">The Company maintains an up-to-date register of all service providers covered by this Policy. For each provider, the register includes:</w:t>
      </w:r>
    </w:p>
    <w:p>
      <w:pPr>
        <w:pStyle w:val="Normal"/>
        <w:ind w:left="360" w:hanging="180"/>
      </w:pPr>
      <w:r>
        <w:t xml:space="preserve">• name, country of registration, contact details;</w:t>
      </w:r>
    </w:p>
    <w:p>
      <w:pPr>
        <w:pStyle w:val="Normal"/>
        <w:ind w:left="360" w:hanging="180"/>
      </w:pPr>
      <w:r>
        <w:t xml:space="preserve">• type and description of services provided;</w:t>
      </w:r>
    </w:p>
    <w:p>
      <w:pPr>
        <w:pStyle w:val="Normal"/>
        <w:ind w:left="360" w:hanging="180"/>
      </w:pPr>
      <w:r>
        <w:t xml:space="preserve">• PCI DSS service category (payment, infrastructure, hosting, AI, other);</w:t>
      </w:r>
    </w:p>
    <w:p>
      <w:pPr>
        <w:pStyle w:val="Normal"/>
        <w:ind w:left="360" w:hanging="180"/>
      </w:pPr>
      <w:r>
        <w:t xml:space="preserve">• specific PCI DSS requirements performed by the provider on behalf of the Company;</w:t>
      </w:r>
    </w:p>
    <w:p>
      <w:pPr>
        <w:pStyle w:val="Normal"/>
        <w:ind w:left="360" w:hanging="180"/>
      </w:pPr>
      <w:r>
        <w:t xml:space="preserve">• contract date and term;</w:t>
      </w:r>
    </w:p>
    <w:p>
      <w:pPr>
        <w:pStyle w:val="Normal"/>
        <w:ind w:left="360" w:hanging="180"/>
      </w:pPr>
      <w:r>
        <w:t xml:space="preserve">• status and validity of the Attestation of Compliance (for payment and infrastructure TPSPs);</w:t>
      </w:r>
    </w:p>
    <w:p>
      <w:pPr>
        <w:pStyle w:val="Normal"/>
        <w:ind w:left="360" w:hanging="180"/>
      </w:pPr>
      <w:r>
        <w:t xml:space="preserve">• status of the DPA (for processors of personal data);</w:t>
      </w:r>
    </w:p>
    <w:p>
      <w:pPr>
        <w:pStyle w:val="Normal"/>
        <w:ind w:left="360" w:hanging="180"/>
      </w:pPr>
      <w:r>
        <w:t xml:space="preserve">• date of the most recent compliance review;</w:t>
      </w:r>
    </w:p>
    <w:p>
      <w:pPr>
        <w:pStyle w:val="Normal"/>
        <w:ind w:left="360" w:hanging="180"/>
      </w:pPr>
      <w:r>
        <w:t xml:space="preserve">• the Company's relationship manager for the provider.</w:t>
      </w:r>
    </w:p>
    <w:p>
      <w:pPr>
        <w:pStyle w:val="Normal"/>
      </w:pPr>
      <w:r>
        <w:t xml:space="preserve">The register is reviewed at least every 12 months and updated upon any change in the composition of providers.</w:t>
      </w:r>
    </w:p>
    <w:p>
      <w:pPr>
        <w:pStyle w:val="Heading2"/>
      </w:pPr>
      <w:r>
        <w:t xml:space="preserve">4.1. Current Service Providers of the Company</w:t>
      </w:r>
    </w:p>
    <w:p>
      <w:pPr>
        <w:pStyle w:val="Normal"/>
      </w:pPr>
      <w:r>
        <w:t xml:space="preserve">As of 30 October 2026:</w:t>
      </w:r>
    </w:p>
    <w:p>
      <w:pPr>
        <w:pStyle w:val="Normal"/>
      </w:pPr>
      <w:r>
        <w:rPr>
          <w:b/>
        </w:rPr>
        <w:t xml:space="preserve">Provider</w:t>
      </w:r>
    </w:p>
    <w:p>
      <w:pPr>
        <w:pStyle w:val="Normal"/>
      </w:pPr>
      <w:r>
        <w:rPr>
          <w:b/>
        </w:rPr>
        <w:t xml:space="preserve">Jurisdiction</w:t>
      </w:r>
    </w:p>
    <w:p>
      <w:pPr>
        <w:pStyle w:val="Normal"/>
      </w:pPr>
      <w:r>
        <w:rPr>
          <w:b/>
        </w:rPr>
        <w:t xml:space="preserve">Service / role</w:t>
      </w:r>
    </w:p>
    <w:p>
      <w:pPr>
        <w:pStyle w:val="Normal"/>
      </w:pPr>
      <w:r>
        <w:rPr>
          <w:b/>
        </w:rPr>
        <w:t xml:space="preserve">PCI DSS category</w:t>
      </w:r>
    </w:p>
    <w:p>
      <w:pPr>
        <w:pStyle w:val="Normal"/>
      </w:pPr>
      <w:r>
        <w:t xml:space="preserve">FreedomPay</w:t>
      </w:r>
    </w:p>
    <w:p>
      <w:pPr>
        <w:pStyle w:val="Normal"/>
      </w:pPr>
      <w:r>
        <w:t xml:space="preserve">Uzbekistan</w:t>
      </w:r>
    </w:p>
    <w:p>
      <w:pPr>
        <w:pStyle w:val="Normal"/>
      </w:pPr>
      <w:r>
        <w:t xml:space="preserve">Acceptance of payments with Uzcard and Humo cards; payment credentials are entered on the provider's side</w:t>
      </w:r>
    </w:p>
    <w:p>
      <w:pPr>
        <w:pStyle w:val="Normal"/>
      </w:pPr>
      <w:r>
        <w:t xml:space="preserve">Payment service</w:t>
      </w:r>
    </w:p>
    <w:p>
      <w:pPr>
        <w:pStyle w:val="Normal"/>
      </w:pPr>
      <w:r>
        <w:t xml:space="preserve">Click</w:t>
      </w:r>
    </w:p>
    <w:p>
      <w:pPr>
        <w:pStyle w:val="Normal"/>
      </w:pPr>
      <w:r>
        <w:t xml:space="preserve">Uzbekistan</w:t>
      </w:r>
    </w:p>
    <w:p>
      <w:pPr>
        <w:pStyle w:val="Normal"/>
      </w:pPr>
      <w:r>
        <w:t xml:space="preserve">Acceptance of payments through the Click payment service; payment takes place on the provider's page</w:t>
      </w:r>
    </w:p>
    <w:p>
      <w:pPr>
        <w:pStyle w:val="Normal"/>
      </w:pPr>
      <w:r>
        <w:t xml:space="preserve">Payment service</w:t>
      </w:r>
    </w:p>
    <w:p>
      <w:pPr>
        <w:pStyle w:val="Normal"/>
      </w:pPr>
      <w:r>
        <w:t xml:space="preserve">Payme</w:t>
      </w:r>
    </w:p>
    <w:p>
      <w:pPr>
        <w:pStyle w:val="Normal"/>
      </w:pPr>
      <w:r>
        <w:t xml:space="preserve">Uzbekistan</w:t>
      </w:r>
    </w:p>
    <w:p>
      <w:pPr>
        <w:pStyle w:val="Normal"/>
      </w:pPr>
      <w:r>
        <w:t xml:space="preserve">Acceptance of payments through the Payme payment service; payment takes place on the provider's page</w:t>
      </w:r>
    </w:p>
    <w:p>
      <w:pPr>
        <w:pStyle w:val="Normal"/>
      </w:pPr>
      <w:r>
        <w:t xml:space="preserve">Payment service</w:t>
      </w:r>
    </w:p>
    <w:p>
      <w:pPr>
        <w:pStyle w:val="Normal"/>
      </w:pPr>
      <w:r>
        <w:t xml:space="preserve">Telegram FZ-LLC</w:t>
      </w:r>
    </w:p>
    <w:p>
      <w:pPr>
        <w:pStyle w:val="Normal"/>
      </w:pPr>
      <w:r>
        <w:t xml:space="preserve">UAE</w:t>
      </w:r>
    </w:p>
    <w:p>
      <w:pPr>
        <w:pStyle w:val="Normal"/>
      </w:pPr>
      <w:r>
        <w:t xml:space="preserve">User support channel (@safelaw\_support\_bot) and the Telegram version of the SafeLaw service (@safelawaibot)</w:t>
      </w:r>
    </w:p>
    <w:p>
      <w:pPr>
        <w:pStyle w:val="Normal"/>
      </w:pPr>
      <w:r>
        <w:t xml:space="preserve">Other / communication channel</w:t>
      </w:r>
    </w:p>
    <w:p>
      <w:pPr>
        <w:pStyle w:val="Normal"/>
      </w:pPr>
      <w:r>
        <w:t xml:space="preserve">Netcup GmbH</w:t>
      </w:r>
    </w:p>
    <w:p>
      <w:pPr>
        <w:pStyle w:val="Normal"/>
      </w:pPr>
      <w:r>
        <w:t xml:space="preserve">Germany</w:t>
      </w:r>
    </w:p>
    <w:p>
      <w:pPr>
        <w:pStyle w:val="Normal"/>
      </w:pPr>
      <w:r>
        <w:t xml:space="preserve">Hosting of production servers of the SafeLaw service</w:t>
      </w:r>
    </w:p>
    <w:p>
      <w:pPr>
        <w:pStyle w:val="Normal"/>
      </w:pPr>
      <w:r>
        <w:t xml:space="preserve">Infrastructure / hosting</w:t>
      </w:r>
    </w:p>
    <w:p>
      <w:pPr>
        <w:pStyle w:val="Normal"/>
      </w:pPr>
      <w:r>
        <w:t xml:space="preserve">Google LLC</w:t>
      </w:r>
    </w:p>
    <w:p>
      <w:pPr>
        <w:pStyle w:val="Normal"/>
      </w:pPr>
      <w:r>
        <w:t xml:space="preserve">USA</w:t>
      </w:r>
    </w:p>
    <w:p>
      <w:pPr>
        <w:pStyle w:val="Normal"/>
      </w:pPr>
      <w:r>
        <w:t xml:space="preserve">Corporate email and collaboration (Google Workspace)</w:t>
      </w:r>
    </w:p>
    <w:p>
      <w:pPr>
        <w:pStyle w:val="Normal"/>
      </w:pPr>
      <w:r>
        <w:t xml:space="preserve">Corporate services</w:t>
      </w:r>
    </w:p>
    <w:p>
      <w:pPr>
        <w:pStyle w:val="Normal"/>
      </w:pPr>
      <w:r>
        <w:t xml:space="preserve">Anthropic PBC</w:t>
      </w:r>
    </w:p>
    <w:p>
      <w:pPr>
        <w:pStyle w:val="Normal"/>
      </w:pPr>
      <w:r>
        <w:t xml:space="preserve">USA</w:t>
      </w:r>
    </w:p>
    <w:p>
      <w:pPr>
        <w:pStyle w:val="Normal"/>
      </w:pPr>
      <w:r>
        <w:t xml:space="preserve">AI model API</w:t>
      </w:r>
    </w:p>
    <w:p>
      <w:pPr>
        <w:pStyle w:val="Normal"/>
      </w:pPr>
      <w:r>
        <w:t xml:space="preserve">AI service</w:t>
      </w:r>
    </w:p>
    <w:p>
      <w:pPr>
        <w:pStyle w:val="Normal"/>
      </w:pPr>
      <w:r>
        <w:t xml:space="preserve">Voyage AI</w:t>
      </w:r>
    </w:p>
    <w:p>
      <w:pPr>
        <w:pStyle w:val="Normal"/>
      </w:pPr>
      <w:r>
        <w:t xml:space="preserve">USA</w:t>
      </w:r>
    </w:p>
    <w:p>
      <w:pPr>
        <w:pStyle w:val="Normal"/>
      </w:pPr>
      <w:r>
        <w:t xml:space="preserve">AI search-result ranking service (Rerank API); receives the text of the user's query</w:t>
      </w:r>
    </w:p>
    <w:p>
      <w:pPr>
        <w:pStyle w:val="Normal"/>
      </w:pPr>
      <w:r>
        <w:t xml:space="preserve">AI service</w:t>
      </w:r>
    </w:p>
    <w:p>
      <w:pPr>
        <w:pStyle w:val="Normal"/>
      </w:pPr>
      <w:r>
        <w:t xml:space="preserve">OpenAI, OpCo, LLC</w:t>
      </w:r>
    </w:p>
    <w:p>
      <w:pPr>
        <w:pStyle w:val="Normal"/>
      </w:pPr>
      <w:r>
        <w:t xml:space="preserve">USA</w:t>
      </w:r>
    </w:p>
    <w:p>
      <w:pPr>
        <w:pStyle w:val="Normal"/>
      </w:pPr>
      <w:r>
        <w:t xml:space="preserve">AI model API</w:t>
      </w:r>
    </w:p>
    <w:p>
      <w:pPr>
        <w:pStyle w:val="Normal"/>
      </w:pPr>
      <w:r>
        <w:t xml:space="preserve">AI service</w:t>
      </w:r>
    </w:p>
    <w:p>
      <w:pPr>
        <w:pStyle w:val="Normal"/>
      </w:pPr>
      <w:r>
        <w:t xml:space="preserve">Namecheap, Inc.</w:t>
      </w:r>
    </w:p>
    <w:p>
      <w:pPr>
        <w:pStyle w:val="Normal"/>
      </w:pPr>
      <w:r>
        <w:t xml:space="preserve">USA</w:t>
      </w:r>
    </w:p>
    <w:p>
      <w:pPr>
        <w:pStyle w:val="Normal"/>
      </w:pPr>
      <w:r>
        <w:t xml:space="preserve">Domain registrar for safelaw.ai</w:t>
      </w:r>
    </w:p>
    <w:p>
      <w:pPr>
        <w:pStyle w:val="Normal"/>
      </w:pPr>
      <w:r>
        <w:t xml:space="preserve">Infrastructure</w:t>
      </w:r>
    </w:p>
    <w:p>
      <w:pPr>
        <w:pStyle w:val="Normal"/>
      </w:pPr>
      <w:r>
        <w:t xml:space="preserve">Google LLC</w:t>
      </w:r>
    </w:p>
    <w:p>
      <w:pPr>
        <w:pStyle w:val="Normal"/>
      </w:pPr>
      <w:r>
        <w:t xml:space="preserve">USA</w:t>
      </w:r>
    </w:p>
    <w:p>
      <w:pPr>
        <w:pStyle w:val="Normal"/>
      </w:pPr>
      <w:r>
        <w:t xml:space="preserve">Google Analytics 4 web analytics: site-traffic statistics and advertising measurement; activated only after the user consents to analytics cookies</w:t>
      </w:r>
    </w:p>
    <w:p>
      <w:pPr>
        <w:pStyle w:val="Normal"/>
      </w:pPr>
      <w:r>
        <w:t xml:space="preserve">Other / web analytics</w:t>
      </w:r>
    </w:p>
    <w:p>
      <w:pPr>
        <w:pStyle w:val="Normal"/>
      </w:pPr>
      <w:r>
        <w:t xml:space="preserve">Meta Platforms, Inc.</w:t>
      </w:r>
    </w:p>
    <w:p>
      <w:pPr>
        <w:pStyle w:val="Normal"/>
      </w:pPr>
      <w:r>
        <w:t xml:space="preserve">USA</w:t>
      </w:r>
    </w:p>
    <w:p>
      <w:pPr>
        <w:pStyle w:val="Normal"/>
      </w:pPr>
      <w:r>
        <w:t xml:space="preserve">Meta Pixel: conversion and advertising-effectiveness measurement; activated only after the user consents to marketing cookies</w:t>
      </w:r>
    </w:p>
    <w:p>
      <w:pPr>
        <w:pStyle w:val="Normal"/>
      </w:pPr>
      <w:r>
        <w:t xml:space="preserve">Other / marketing</w:t>
      </w:r>
    </w:p>
    <w:p>
      <w:pPr>
        <w:pStyle w:val="Normal"/>
      </w:pPr>
      <w:r>
        <w:t xml:space="preserve">Microsoft Corporation</w:t>
      </w:r>
    </w:p>
    <w:p>
      <w:pPr>
        <w:pStyle w:val="Normal"/>
      </w:pPr>
      <w:r>
        <w:t xml:space="preserve">USA</w:t>
      </w:r>
    </w:p>
    <w:p>
      <w:pPr>
        <w:pStyle w:val="Normal"/>
      </w:pPr>
      <w:r>
        <w:t xml:space="preserve">Microsoft Clarity web analytics: on-site behaviour statistics, heatmaps and session recordings with masking of chat input, questions and answers; activated only after the user consents to analytics cookies</w:t>
      </w:r>
    </w:p>
    <w:p>
      <w:pPr>
        <w:pStyle w:val="Normal"/>
      </w:pPr>
      <w:r>
        <w:t xml:space="preserve">Other / web analytics</w:t>
      </w:r>
    </w:p>
    <w:p>
      <w:pPr>
        <w:pStyle w:val="Normal"/>
      </w:pPr>
      <w:r>
        <w:t xml:space="preserve">Yandex LLC</w:t>
      </w:r>
    </w:p>
    <w:p>
      <w:pPr>
        <w:pStyle w:val="Normal"/>
      </w:pPr>
      <w:r>
        <w:t xml:space="preserve">Russia</w:t>
      </w:r>
    </w:p>
    <w:p>
      <w:pPr>
        <w:pStyle w:val="Normal"/>
      </w:pPr>
      <w:r>
        <w:t xml:space="preserve">Yandex Metrica web analytics with Webvisor and click map: site-traffic statistics and session recordings with masking of chat input, questions and answers; activated only after the user consents to analytics cookies</w:t>
      </w:r>
    </w:p>
    <w:p>
      <w:pPr>
        <w:pStyle w:val="Normal"/>
      </w:pPr>
      <w:r>
        <w:t xml:space="preserve">Other / web analytics</w:t>
      </w:r>
    </w:p>
    <w:p>
      <w:pPr>
        <w:pStyle w:val="Normal"/>
      </w:pPr>
      <w:r>
        <w:t xml:space="preserve">PostHog Inc.</w:t>
      </w:r>
    </w:p>
    <w:p>
      <w:pPr>
        <w:pStyle w:val="Normal"/>
      </w:pPr>
      <w:r>
        <w:t xml:space="preserve">USA; data is stored and processed in the EU (Frankfurt, Germany)</w:t>
      </w:r>
    </w:p>
    <w:p>
      <w:pPr>
        <w:pStyle w:val="Normal"/>
      </w:pPr>
      <w:r>
        <w:t xml:space="preserve">Product analytics and session recordings with masking of chat input, questions and answers; activated only after the user consents to analytics cookies</w:t>
      </w:r>
    </w:p>
    <w:p>
      <w:pPr>
        <w:pStyle w:val="Normal"/>
      </w:pPr>
      <w:r>
        <w:t xml:space="preserve">Other / web analytics</w:t>
      </w:r>
    </w:p>
    <w:p>
      <w:pPr>
        <w:pStyle w:val="Normal"/>
      </w:pPr>
      <w:r>
        <w:t xml:space="preserve">None of the listed providers, other than the payment service providers (FreedomPay, Click, Payme), has access to payment cardholder data, as the Company does not process PAN or SAD on its infrastructure.</w:t>
      </w:r>
    </w:p>
    <w:p>
      <w:pPr>
        <w:pStyle w:val="Heading1"/>
      </w:pPr>
      <w:r>
        <w:t xml:space="preserve">5\. Provider Selection Procedure</w:t>
      </w:r>
    </w:p>
    <w:p>
      <w:pPr>
        <w:pStyle w:val="Heading2"/>
      </w:pPr>
      <w:r>
        <w:t xml:space="preserve">5.1. Due Diligence</w:t>
      </w:r>
    </w:p>
    <w:p>
      <w:pPr>
        <w:pStyle w:val="Normal"/>
      </w:pPr>
      <w:r>
        <w:t xml:space="preserve">Before contracting with a potential service provider covered by this Policy, an assessment is performed against the following criteria:</w:t>
      </w:r>
    </w:p>
    <w:p>
      <w:pPr>
        <w:pStyle w:val="Normal"/>
        <w:ind w:left="360" w:hanging="180"/>
      </w:pPr>
      <w:r>
        <w:t xml:space="preserve">• required licences, authorisations and registrations;</w:t>
      </w:r>
    </w:p>
    <w:p>
      <w:pPr>
        <w:pStyle w:val="Normal"/>
        <w:ind w:left="360" w:hanging="180"/>
      </w:pPr>
      <w:r>
        <w:t xml:space="preserve">• compliance with applicable standards and certifications (PCI DSS, ISO 27001, SOC 2, depending on the type of service);</w:t>
      </w:r>
    </w:p>
    <w:p>
      <w:pPr>
        <w:pStyle w:val="Normal"/>
        <w:ind w:left="360" w:hanging="180"/>
      </w:pPr>
      <w:r>
        <w:t xml:space="preserve">• market reputation and information security incidents in public sources;</w:t>
      </w:r>
    </w:p>
    <w:p>
      <w:pPr>
        <w:pStyle w:val="Normal"/>
        <w:ind w:left="360" w:hanging="180"/>
      </w:pPr>
      <w:r>
        <w:t xml:space="preserve">• transparency of information security and data processing policies;</w:t>
      </w:r>
    </w:p>
    <w:p>
      <w:pPr>
        <w:pStyle w:val="Normal"/>
        <w:ind w:left="360" w:hanging="180"/>
      </w:pPr>
      <w:r>
        <w:t xml:space="preserve">• ability to enter into contractual obligations on data protection;</w:t>
      </w:r>
    </w:p>
    <w:p>
      <w:pPr>
        <w:pStyle w:val="Normal"/>
        <w:ind w:left="360" w:hanging="180"/>
      </w:pPr>
      <w:r>
        <w:t xml:space="preserve">• geographic location of the data processing infrastructure;</w:t>
      </w:r>
    </w:p>
    <w:p>
      <w:pPr>
        <w:pStyle w:val="Normal"/>
        <w:ind w:left="360" w:hanging="180"/>
      </w:pPr>
      <w:r>
        <w:t xml:space="preserve">• financial stability;</w:t>
      </w:r>
    </w:p>
    <w:p>
      <w:pPr>
        <w:pStyle w:val="Normal"/>
        <w:ind w:left="360" w:hanging="180"/>
      </w:pPr>
      <w:r>
        <w:t xml:space="preserve">• SLA and support arrangements.</w:t>
      </w:r>
    </w:p>
    <w:p>
      <w:pPr>
        <w:pStyle w:val="Normal"/>
      </w:pPr>
      <w:r>
        <w:t xml:space="preserve">For payment providers and providers with access to payment cardholder data, a valid PCI DSS certificate of the required level is mandatory. A copy of the Attestation of Compliance (AoC) shall be obtained.</w:t>
      </w:r>
    </w:p>
    <w:p>
      <w:pPr>
        <w:pStyle w:val="Heading2"/>
      </w:pPr>
      <w:r>
        <w:t xml:space="preserve">5.2. Documentation of the Assessment</w:t>
      </w:r>
    </w:p>
    <w:p>
      <w:pPr>
        <w:pStyle w:val="Normal"/>
      </w:pPr>
      <w:r>
        <w:t xml:space="preserve">The results of the assessment are documented in a brief report containing: the provider's name, the proposed services, the criteria reviewed, identified risks and a recommendation to contract or decline. The report is retained for the term of the contract and for 3 years thereafter.</w:t>
      </w:r>
    </w:p>
    <w:p>
      <w:pPr>
        <w:pStyle w:val="Heading1"/>
      </w:pPr>
      <w:r>
        <w:t xml:space="preserve">6\. Contractual Requirements</w:t>
      </w:r>
    </w:p>
    <w:p>
      <w:pPr>
        <w:pStyle w:val="Normal"/>
      </w:pPr>
      <w:r>
        <w:t xml:space="preserve">A contract with a TPSP that has access to the Company's data or affects data security includes provisions on:</w:t>
      </w:r>
    </w:p>
    <w:p>
      <w:pPr>
        <w:pStyle w:val="Normal"/>
        <w:ind w:left="360" w:hanging="180"/>
      </w:pPr>
      <w:r>
        <w:t xml:space="preserve">• the provider's obligation to comply with applicable law and standards (including PCI DSS for payment and infrastructure providers; Law No. ZRU-547 «On Personal Data» for processors of personal data of Uzbek users);</w:t>
      </w:r>
    </w:p>
    <w:p>
      <w:pPr>
        <w:pStyle w:val="Normal"/>
        <w:ind w:left="360" w:hanging="180"/>
      </w:pPr>
      <w:r>
        <w:t xml:space="preserve">• a clear allocation of information security responsibilities between the Company and the provider;</w:t>
      </w:r>
    </w:p>
    <w:p>
      <w:pPr>
        <w:pStyle w:val="Normal"/>
        <w:ind w:left="360" w:hanging="180"/>
      </w:pPr>
      <w:r>
        <w:t xml:space="preserve">• the provider's obligation to notify the Company of information security incidents affecting the Company's data within a specified timeframe;</w:t>
      </w:r>
    </w:p>
    <w:p>
      <w:pPr>
        <w:pStyle w:val="Normal"/>
        <w:ind w:left="360" w:hanging="180"/>
      </w:pPr>
      <w:r>
        <w:t xml:space="preserve">• the Company's right to request evidence of the provider's compliance with security standards;</w:t>
      </w:r>
    </w:p>
    <w:p>
      <w:pPr>
        <w:pStyle w:val="Normal"/>
        <w:ind w:left="360" w:hanging="180"/>
      </w:pPr>
      <w:r>
        <w:t xml:space="preserve">• confidentiality of information received from the Company;</w:t>
      </w:r>
    </w:p>
    <w:p>
      <w:pPr>
        <w:pStyle w:val="Normal"/>
        <w:ind w:left="360" w:hanging="180"/>
      </w:pPr>
      <w:r>
        <w:t xml:space="preserve">• the procedure for returning or destroying the Company's data upon termination;</w:t>
      </w:r>
    </w:p>
    <w:p>
      <w:pPr>
        <w:pStyle w:val="Normal"/>
        <w:ind w:left="360" w:hanging="180"/>
      </w:pPr>
      <w:r>
        <w:t xml:space="preserve">• liability for breach of the security obligations.</w:t>
      </w:r>
    </w:p>
    <w:p>
      <w:pPr>
        <w:pStyle w:val="Normal"/>
      </w:pPr>
      <w:r>
        <w:t xml:space="preserve">Where it is impossible to include specific provisions in the standard terms of international providers (Google, Anthropic, OpenAI, Voyage AI, Netcup and others), the Company relies on the providers' published terms of service, privacy policies and Data Processing Agreements and ensures their alignment with the Company's requirements. Entering into a DPA with such providers is mandatory.</w:t>
      </w:r>
    </w:p>
    <w:p>
      <w:pPr>
        <w:pStyle w:val="Heading1"/>
      </w:pPr>
      <w:r>
        <w:t xml:space="preserve">7\. Allocation of PCI DSS Responsibilities</w:t>
      </w:r>
    </w:p>
    <w:p>
      <w:pPr>
        <w:pStyle w:val="Normal"/>
      </w:pPr>
      <w:r>
        <w:t xml:space="preserve">Responsibilities for PCI DSS compliance are clearly allocated between the Company and its TPSPs. The allocation is documented in a Responsibility Matrix.</w:t>
      </w:r>
    </w:p>
    <w:p>
      <w:pPr>
        <w:pStyle w:val="Heading2"/>
      </w:pPr>
      <w:r>
        <w:t xml:space="preserve">7.1. Payment Providers (FreedomPay, Click, Payme) Responsibilities</w:t>
      </w:r>
    </w:p>
    <w:p>
      <w:pPr>
        <w:pStyle w:val="Normal"/>
        <w:ind w:left="360" w:hanging="180"/>
      </w:pPr>
      <w:r>
        <w:t xml:space="preserve">• processing, storage and transmission of users' payment cardholder data;</w:t>
      </w:r>
    </w:p>
    <w:p>
      <w:pPr>
        <w:pStyle w:val="Normal"/>
        <w:ind w:left="360" w:hanging="180"/>
      </w:pPr>
      <w:r>
        <w:t xml:space="preserve">• security of the payment gateway and payment pages;</w:t>
      </w:r>
    </w:p>
    <w:p>
      <w:pPr>
        <w:pStyle w:val="Normal"/>
        <w:ind w:left="360" w:hanging="180"/>
      </w:pPr>
      <w:r>
        <w:t xml:space="preserve">• PCI DSS compliance at the level applicable to payment service providers;</w:t>
      </w:r>
    </w:p>
    <w:p>
      <w:pPr>
        <w:pStyle w:val="Normal"/>
        <w:ind w:left="360" w:hanging="180"/>
      </w:pPr>
      <w:r>
        <w:t xml:space="preserve">• notifying the Company of security incidents affecting payment operations.</w:t>
      </w:r>
    </w:p>
    <w:p>
      <w:pPr>
        <w:pStyle w:val="Heading2"/>
      </w:pPr>
      <w:r>
        <w:t xml:space="preserve">7.2. Company Responsibilities</w:t>
      </w:r>
    </w:p>
    <w:p>
      <w:pPr>
        <w:pStyle w:val="Normal"/>
        <w:ind w:left="360" w:hanging="180"/>
      </w:pPr>
      <w:r>
        <w:t xml:space="preserve">• ensuring that payment cardholder data does not enter the Company's infrastructure;</w:t>
      </w:r>
    </w:p>
    <w:p>
      <w:pPr>
        <w:pStyle w:val="Normal"/>
        <w:ind w:left="360" w:hanging="180"/>
      </w:pPr>
      <w:r>
        <w:t xml:space="preserve">• secure integration with the payment gateway (proper redirect flow configuration, validation of returned parameters);</w:t>
      </w:r>
    </w:p>
    <w:p>
      <w:pPr>
        <w:pStyle w:val="Normal"/>
        <w:ind w:left="360" w:hanging="180"/>
      </w:pPr>
      <w:r>
        <w:t xml:space="preserve">• protecting safelaw.ai from tampering that could redirect users to fraudulent payment pages;</w:t>
      </w:r>
    </w:p>
    <w:p>
      <w:pPr>
        <w:pStyle w:val="Normal"/>
        <w:ind w:left="360" w:hanging="180"/>
      </w:pPr>
      <w:r>
        <w:t xml:space="preserve">• complying with the SAQ A requirements applicable to a merchant with fully outsourced CHD processing;</w:t>
      </w:r>
    </w:p>
    <w:p>
      <w:pPr>
        <w:pStyle w:val="Normal"/>
        <w:ind w:left="360" w:hanging="180"/>
      </w:pPr>
      <w:r>
        <w:t xml:space="preserve">• maintaining the TPSP register and monitoring TPSP PCI DSS compliance.</w:t>
      </w:r>
    </w:p>
    <w:p>
      <w:pPr>
        <w:pStyle w:val="Heading1"/>
      </w:pPr>
      <w:r>
        <w:t xml:space="preserve">8\. Monitoring of Provider Compliance</w:t>
      </w:r>
    </w:p>
    <w:p>
      <w:pPr>
        <w:pStyle w:val="Normal"/>
      </w:pPr>
      <w:r>
        <w:t xml:space="preserve">The Company monitors providers' compliance with applicable requirements on a regular basis:</w:t>
      </w:r>
    </w:p>
    <w:p>
      <w:pPr>
        <w:pStyle w:val="Normal"/>
        <w:ind w:left="360" w:hanging="180"/>
      </w:pPr>
      <w:r>
        <w:t xml:space="preserve">• an up-to-date Attestation of Compliance is requested from payment and infrastructure TPSPs at least every 12 months;</w:t>
      </w:r>
    </w:p>
    <w:p>
      <w:pPr>
        <w:pStyle w:val="Normal"/>
        <w:ind w:left="360" w:hanging="180"/>
      </w:pPr>
      <w:r>
        <w:t xml:space="preserve">• where a provider operates a public Trust Center or Compliance Page, the current status is verified through that official source;</w:t>
      </w:r>
    </w:p>
    <w:p>
      <w:pPr>
        <w:pStyle w:val="Normal"/>
        <w:ind w:left="360" w:hanging="180"/>
      </w:pPr>
      <w:r>
        <w:t xml:space="preserve">• the Company tracks providers' security incident disclosures, including official blogs, status pages and public reports;</w:t>
      </w:r>
    </w:p>
    <w:p>
      <w:pPr>
        <w:pStyle w:val="Normal"/>
        <w:ind w:left="360" w:hanging="180"/>
      </w:pPr>
      <w:r>
        <w:t xml:space="preserve">• if a material issue is identified at a provider (data breach, certification withdrawal, financial deterioration), a re-assessment is performed.</w:t>
      </w:r>
    </w:p>
    <w:p>
      <w:pPr>
        <w:pStyle w:val="Normal"/>
      </w:pPr>
      <w:r>
        <w:t xml:space="preserve">Monitoring outcomes are recorded in the TPSP register.</w:t>
      </w:r>
    </w:p>
    <w:p>
      <w:pPr>
        <w:pStyle w:val="Heading1"/>
      </w:pPr>
      <w:r>
        <w:t xml:space="preserve">9\. Change Management</w:t>
      </w:r>
    </w:p>
    <w:p>
      <w:pPr>
        <w:pStyle w:val="Normal"/>
      </w:pPr>
      <w:r>
        <w:t xml:space="preserve">A provider's status is reviewed upon any of the following events:</w:t>
      </w:r>
    </w:p>
    <w:p>
      <w:pPr>
        <w:pStyle w:val="Normal"/>
        <w:ind w:left="360" w:hanging="180"/>
      </w:pPr>
      <w:r>
        <w:t xml:space="preserve">• changes to the services provided;</w:t>
      </w:r>
    </w:p>
    <w:p>
      <w:pPr>
        <w:pStyle w:val="Normal"/>
        <w:ind w:left="360" w:hanging="180"/>
      </w:pPr>
      <w:r>
        <w:t xml:space="preserve">• changes to the volume or category of data transmitted to the provider;</w:t>
      </w:r>
    </w:p>
    <w:p>
      <w:pPr>
        <w:pStyle w:val="Normal"/>
        <w:ind w:left="360" w:hanging="180"/>
      </w:pPr>
      <w:r>
        <w:t xml:space="preserve">• expiration of the provider's certification/AoC;</w:t>
      </w:r>
    </w:p>
    <w:p>
      <w:pPr>
        <w:pStyle w:val="Normal"/>
        <w:ind w:left="360" w:hanging="180"/>
      </w:pPr>
      <w:r>
        <w:t xml:space="preserve">• public disclosure of a security incident at the provider;</w:t>
      </w:r>
    </w:p>
    <w:p>
      <w:pPr>
        <w:pStyle w:val="Normal"/>
        <w:ind w:left="360" w:hanging="180"/>
      </w:pPr>
      <w:r>
        <w:t xml:space="preserve">• changes in ownership, jurisdiction or material operating conditions of the provider.</w:t>
      </w:r>
    </w:p>
    <w:p>
      <w:pPr>
        <w:pStyle w:val="Heading1"/>
      </w:pPr>
      <w:r>
        <w:t xml:space="preserve">10\. Termination of Relations</w:t>
      </w:r>
    </w:p>
    <w:p>
      <w:pPr>
        <w:pStyle w:val="Normal"/>
      </w:pPr>
      <w:r>
        <w:t xml:space="preserve">Upon termination of a contract with a provider, the Company ensures:</w:t>
      </w:r>
    </w:p>
    <w:p>
      <w:pPr>
        <w:pStyle w:val="Normal"/>
        <w:ind w:left="360" w:hanging="180"/>
      </w:pPr>
      <w:r>
        <w:t xml:space="preserve">• prompt termination of all technical integrations (revocation of API keys, access tokens, removal of accounts at the provider and in the Company's systems);</w:t>
      </w:r>
    </w:p>
    <w:p>
      <w:pPr>
        <w:pStyle w:val="Normal"/>
        <w:ind w:left="360" w:hanging="180"/>
      </w:pPr>
      <w:r>
        <w:t xml:space="preserve">• return or destruction of the Company's data transmitted to the provider, with documentary confirmation;</w:t>
      </w:r>
    </w:p>
    <w:p>
      <w:pPr>
        <w:pStyle w:val="Normal"/>
        <w:ind w:left="360" w:hanging="180"/>
      </w:pPr>
      <w:r>
        <w:t xml:space="preserve">• removal of the provider from the active TPSP register (an archive record is retained for the required period);</w:t>
      </w:r>
    </w:p>
    <w:p>
      <w:pPr>
        <w:pStyle w:val="Normal"/>
        <w:ind w:left="360" w:hanging="180"/>
      </w:pPr>
      <w:r>
        <w:t xml:space="preserve">• notifying employees who used the provider's services of the migration plan to an alternative solution.</w:t>
      </w:r>
    </w:p>
    <w:p>
      <w:pPr>
        <w:pStyle w:val="Heading1"/>
      </w:pPr>
      <w:r>
        <w:t xml:space="preserve">11\. Accountable Person</w:t>
      </w:r>
    </w:p>
    <w:p>
      <w:pPr>
        <w:pStyle w:val="Normal"/>
      </w:pPr>
      <w:r>
        <w:t xml:space="preserve">Responsibility for the implementation of this Policy, maintenance of the TPSP register and monitoring of provider compliance is assigned to the Service Provider Management Officer. The role is assigned by an order of the Director to an employee of the Company; this Policy refers to the role only, without personal names. The Service Provider Management Officer agrees risk assessments with the Information Security Officer; decisions on entering into and terminating contracts with providers are taken by the Director of the Company.</w:t>
      </w:r>
    </w:p>
    <w:p>
      <w:pPr>
        <w:pStyle w:val="Heading1"/>
      </w:pPr>
      <w:r>
        <w:t xml:space="preserve">12\. Policy Review</w:t>
      </w:r>
    </w:p>
    <w:p>
      <w:pPr>
        <w:pStyle w:val="Normal"/>
      </w:pPr>
      <w:r>
        <w:t xml:space="preserve">This Policy is reviewed at least every 12 months and also upon material changes to the composition of providers, the Company's business model or the applicable regulatory framework or standards (PCI DSS).</w:t>
      </w:r>
    </w:p>
    <w:p>
      <w:pPr>
        <w:pStyle w:val="Heading1"/>
      </w:pPr>
      <w:r>
        <w:t xml:space="preserve">13\. Document Information</w:t>
      </w:r>
    </w:p>
    <w:p>
      <w:pPr>
        <w:pStyle w:val="Normal"/>
      </w:pPr>
      <w:r>
        <w:rPr>
          <w:b/>
        </w:rPr>
        <w:t xml:space="preserve">Version</w:t>
      </w:r>
    </w:p>
    <w:p>
      <w:pPr>
        <w:pStyle w:val="Normal"/>
      </w:pPr>
      <w:r>
        <w:rPr>
          <w:b/>
        </w:rPr>
        <w:t xml:space="preserve">Date</w:t>
      </w:r>
    </w:p>
    <w:p>
      <w:pPr>
        <w:pStyle w:val="Normal"/>
      </w:pPr>
      <w:r>
        <w:rPr>
          <w:b/>
        </w:rPr>
        <w:t xml:space="preserve">Changes</w:t>
      </w:r>
    </w:p>
    <w:p>
      <w:pPr>
        <w:pStyle w:val="Normal"/>
      </w:pPr>
      <w:r>
        <w:rPr>
          <w:b/>
        </w:rPr>
        <w:t xml:space="preserve">Approved by</w:t>
      </w:r>
    </w:p>
    <w:p>
      <w:pPr>
        <w:pStyle w:val="Normal"/>
      </w:pPr>
      <w:r>
        <w:t xml:space="preserve">1.0</w:t>
      </w:r>
    </w:p>
    <w:p>
      <w:pPr>
        <w:pStyle w:val="Normal"/>
      </w:pPr>
      <w:r>
        <w:t xml:space="preserve">15 May 2026</w:t>
      </w:r>
    </w:p>
    <w:p>
      <w:pPr>
        <w:pStyle w:val="Normal"/>
      </w:pPr>
      <w:r>
        <w:t xml:space="preserve">Initial approval of the document</w:t>
      </w:r>
    </w:p>
    <w:p>
      <w:pPr>
        <w:pStyle w:val="Normal"/>
      </w:pPr>
      <w:r>
        <w:t xml:space="preserve">Director of the Company</w:t>
      </w:r>
    </w:p>
    <w:p>
      <w:pPr>
        <w:pStyle w:val="Normal"/>
      </w:pPr>
      <w:r>
        <w:t xml:space="preserve">1.1</w:t>
      </w:r>
    </w:p>
    <w:p>
      <w:pPr>
        <w:pStyle w:val="Normal"/>
      </w:pPr>
      <w:r>
        <w:t xml:space="preserve">22 September 2026</w:t>
      </w:r>
    </w:p>
    <w:p>
      <w:pPr>
        <w:pStyle w:val="Normal"/>
      </w:pPr>
      <w:r>
        <w:t xml:space="preserve">Scheduled review: update of the service provider register (FreedomPay, Telegram); the former payment acquirer removed from the register, FreedomPay designated as the payment provider; role of the Service Provider Management Officer; contact details; Company details</w:t>
      </w:r>
    </w:p>
    <w:p>
      <w:pPr>
        <w:pStyle w:val="Normal"/>
      </w:pPr>
      <w:r>
        <w:t xml:space="preserve">Director of the Company</w:t>
      </w:r>
    </w:p>
    <w:p>
      <w:pPr>
        <w:pStyle w:val="Normal"/>
      </w:pPr>
      <w:r>
        <w:t xml:space="preserve">1.2</w:t>
      </w:r>
    </w:p>
    <w:p>
      <w:pPr>
        <w:pStyle w:val="Normal"/>
      </w:pPr>
      <w:r>
        <w:t xml:space="preserve">30 October 2026</w:t>
      </w:r>
    </w:p>
    <w:p>
      <w:pPr>
        <w:pStyle w:val="Normal"/>
      </w:pPr>
      <w:r>
        <w:t xml:space="preserve">Unscheduled review: the Click and Payme payment services and the Voyage AI ranking service added to the service provider register; the register aligned with the services actually used</w:t>
      </w:r>
    </w:p>
    <w:p>
      <w:pPr>
        <w:pStyle w:val="Normal"/>
      </w:pPr>
      <w:r>
        <w:t xml:space="preserve">Director of the Company</w:t>
      </w:r>
    </w:p>
    <w:p>
      <w:pPr>
        <w:pStyle w:val="Heading2"/>
      </w:pPr>
      <w:r>
        <w:t xml:space="preserve">Document Approval</w:t>
      </w:r>
    </w:p>
    <w:p>
      <w:pPr>
        <w:pStyle w:val="Normal"/>
      </w:pPr>
      <w:r>
        <w:t xml:space="preserve">The document is approved by the Director of the Company and is effective from 15 May 2026. All personnel, contractors and other persons with access to the Company's information assets are required to acquaint themselves with this document.</w:t>
      </w:r>
    </w:p>
    <w:sectPr>
      <w:pgSz w:w="11906" w:h="16838"/>
      <w:pgMar w:top="1134" w:right="907" w:bottom="1021" w:left="907"/>
    </w:sectPr>
  </w:body>
</w:document>
</file>

<file path=word/styles.xml><?xml version="1.0" encoding="utf-8"?>
<w:styles xmlns:w="http://schemas.openxmlformats.org/wordprocessingml/2006/main">
  <w:docDefaults>
    <w:rPrDefault>
      <w:rPr>
        <w:rFonts w:ascii="Calibri" w:hAnsi="Calibri"/>
        <w:sz w:val="21"/>
      </w:rPr>
    </w:rPrDefault>
  </w:docDefaults>
  <w:style w:type="paragraph" w:styleId="Title">
    <w:name w:val="Title"/>
    <w:pPr>
      <w:spacing w:before="0" w:after="200"/>
    </w:pPr>
    <w:rPr>
      <w:rFonts w:ascii="Calibri" w:hAnsi="Calibri"/>
      <w:sz w:val="34"/>
      <w:b/>
    </w:rPr>
  </w:style>
  <w:style w:type="paragraph" w:styleId="Heading1">
    <w:name w:val="heading 1"/>
    <w:pPr>
      <w:spacing w:before="280" w:after="120"/>
      <w:outlineLvl w:val="0"/>
    </w:pPr>
    <w:rPr>
      <w:rFonts w:ascii="Calibri" w:hAnsi="Calibri"/>
      <w:sz w:val="27"/>
      <w:b/>
    </w:rPr>
  </w:style>
  <w:style w:type="paragraph" w:styleId="Heading2">
    <w:name w:val="heading 2"/>
    <w:pPr>
      <w:spacing w:before="240" w:after="100"/>
      <w:outlineLvl w:val="1"/>
    </w:pPr>
    <w:rPr>
      <w:rFonts w:ascii="Calibri" w:hAnsi="Calibri"/>
      <w:sz w:val="23"/>
      <w:b/>
    </w:rPr>
  </w:style>
  <w:style w:type="paragraph" w:styleId="Heading3">
    <w:name w:val="heading 3"/>
    <w:pPr>
      <w:spacing w:before="200" w:after="80"/>
      <w:outlineLvl w:val="2"/>
    </w:pPr>
    <w:rPr>
      <w:rFonts w:ascii="Calibri" w:hAnsi="Calibri"/>
      <w:sz w:val="21"/>
      <w:b/>
    </w:rPr>
  </w:style>
  <w:style w:type="paragraph" w:styleId="Normal">
    <w:name w:val="Normal"/>
    <w:pPr>
      <w:spacing w:before="0" w:after="120"/>
    </w:pPr>
    <w:rPr>
      <w:rFonts w:ascii="Calibri" w:hAnsi="Calibri"/>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